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55" w:rsidRPr="00DA027D" w:rsidRDefault="009E3D55" w:rsidP="009E3D55">
      <w:pPr>
        <w:spacing w:after="0" w:line="240" w:lineRule="auto"/>
        <w:jc w:val="both"/>
        <w:rPr>
          <w:rFonts w:ascii="Palatino Linotype" w:hAnsi="Palatino Linotype" w:cs="Arial"/>
          <w:sz w:val="18"/>
          <w:szCs w:val="20"/>
        </w:rPr>
      </w:pPr>
      <w:r w:rsidRPr="00EB7B12">
        <w:rPr>
          <w:noProof/>
          <w:lang w:eastAsia="fr-FR"/>
        </w:rPr>
        <mc:AlternateContent>
          <mc:Choice Requires="wpg">
            <w:drawing>
              <wp:anchor distT="0" distB="0" distL="114300" distR="114300" simplePos="0" relativeHeight="251659264" behindDoc="0" locked="0" layoutInCell="1" allowOverlap="1" wp14:anchorId="5294FECA" wp14:editId="38FF67EC">
                <wp:simplePos x="0" y="0"/>
                <wp:positionH relativeFrom="page">
                  <wp:posOffset>421418</wp:posOffset>
                </wp:positionH>
                <wp:positionV relativeFrom="paragraph">
                  <wp:posOffset>-667137</wp:posOffset>
                </wp:positionV>
                <wp:extent cx="6830171" cy="612775"/>
                <wp:effectExtent l="0" t="0" r="8890" b="0"/>
                <wp:wrapNone/>
                <wp:docPr id="13" name="Groupe 13"/>
                <wp:cNvGraphicFramePr/>
                <a:graphic xmlns:a="http://schemas.openxmlformats.org/drawingml/2006/main">
                  <a:graphicData uri="http://schemas.microsoft.com/office/word/2010/wordprocessingGroup">
                    <wpg:wgp>
                      <wpg:cNvGrpSpPr/>
                      <wpg:grpSpPr>
                        <a:xfrm>
                          <a:off x="0" y="0"/>
                          <a:ext cx="6830171" cy="612775"/>
                          <a:chOff x="0" y="0"/>
                          <a:chExt cx="6724650" cy="612775"/>
                        </a:xfrm>
                      </wpg:grpSpPr>
                      <wps:wsp>
                        <wps:cNvPr id="2" name="Rectangle 2"/>
                        <wps:cNvSpPr/>
                        <wps:spPr>
                          <a:xfrm>
                            <a:off x="0" y="104775"/>
                            <a:ext cx="4562475"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74BD" w:rsidRPr="00C310AB" w:rsidRDefault="003D74BD" w:rsidP="009E3D55">
                              <w:pPr>
                                <w:pStyle w:val="MDPI11articletype"/>
                                <w:spacing w:before="0" w:after="0" w:line="240" w:lineRule="auto"/>
                                <w:ind w:left="-142"/>
                                <w:jc w:val="left"/>
                                <w:rPr>
                                  <w:color w:val="0070C0"/>
                                  <w:sz w:val="20"/>
                                  <w:szCs w:val="20"/>
                                  <w:lang w:val="en-US"/>
                                </w:rPr>
                              </w:pPr>
                              <w:r w:rsidRPr="00C310AB">
                                <w:rPr>
                                  <w:color w:val="0070C0"/>
                                  <w:sz w:val="20"/>
                                  <w:szCs w:val="20"/>
                                  <w:lang w:val="en-US"/>
                                </w:rPr>
                                <w:t>KIVU MEDICAL JOURNAL</w:t>
                              </w:r>
                            </w:p>
                            <w:p w:rsidR="003D74BD" w:rsidRPr="00C310AB" w:rsidRDefault="003D74BD" w:rsidP="009E3D55">
                              <w:pPr>
                                <w:pStyle w:val="MDPI11articletype"/>
                                <w:spacing w:before="0"/>
                                <w:ind w:left="-142"/>
                                <w:jc w:val="left"/>
                                <w:rPr>
                                  <w:color w:val="0070C0"/>
                                  <w:sz w:val="22"/>
                                  <w:szCs w:val="20"/>
                                  <w:lang w:val="en-US"/>
                                </w:rPr>
                              </w:pPr>
                              <w:r>
                                <w:rPr>
                                  <w:color w:val="0070C0"/>
                                  <w:sz w:val="20"/>
                                  <w:szCs w:val="20"/>
                                  <w:lang w:val="en-US"/>
                                </w:rPr>
                                <w:t>e-ISSN: 2710-1894</w:t>
                              </w:r>
                              <w:r w:rsidRPr="00C310AB">
                                <w:rPr>
                                  <w:rFonts w:ascii="MV Boli" w:hAnsi="MV Boli" w:cs="MV Boli"/>
                                  <w:color w:val="0070C0"/>
                                  <w:sz w:val="20"/>
                                  <w:szCs w:val="20"/>
                                  <w:lang w:val="en-US"/>
                                </w:rPr>
                                <w:t xml:space="preserve"> </w:t>
                              </w:r>
                              <w:r>
                                <w:rPr>
                                  <w:color w:val="0070C0"/>
                                  <w:sz w:val="20"/>
                                  <w:szCs w:val="20"/>
                                  <w:lang w:val="en-US"/>
                                </w:rPr>
                                <w:t>p-ISSN: 2710-1886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4495800" y="365125"/>
                            <a:ext cx="22288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74BD" w:rsidRPr="007A01B2" w:rsidRDefault="00D56BC0" w:rsidP="009E3D55">
                              <w:pPr>
                                <w:jc w:val="center"/>
                                <w:rPr>
                                  <w:b/>
                                  <w:color w:val="0070C0"/>
                                  <w:sz w:val="36"/>
                                </w:rPr>
                              </w:pPr>
                              <w:hyperlink r:id="rId8" w:history="1">
                                <w:r w:rsidR="003D74BD" w:rsidRPr="007A01B2">
                                  <w:rPr>
                                    <w:rStyle w:val="Lienhypertexte"/>
                                    <w:color w:val="0070C0"/>
                                    <w:sz w:val="18"/>
                                  </w:rPr>
                                  <w:t>https://www.kivumedicaljournal.com</w:t>
                                </w:r>
                              </w:hyperlink>
                            </w:p>
                            <w:p w:rsidR="003D74BD" w:rsidRPr="00814947" w:rsidRDefault="003D74BD" w:rsidP="009E3D55">
                              <w:pPr>
                                <w:pStyle w:val="MDPI11articletype"/>
                                <w:spacing w:before="0"/>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Image 32" descr="C:\Users\hp\Desktop\JOURNAL UNIGOM\LOGO 2 CHASUMBA 4 TRANSPARENT é.png"/>
                          <pic:cNvPicPr>
                            <a:picLocks noChangeAspect="1"/>
                          </pic:cNvPicPr>
                        </pic:nvPicPr>
                        <pic:blipFill rotWithShape="1">
                          <a:blip r:embed="rId9" cstate="print">
                            <a:extLst>
                              <a:ext uri="{28A0092B-C50C-407E-A947-70E740481C1C}">
                                <a14:useLocalDpi xmlns:a14="http://schemas.microsoft.com/office/drawing/2010/main" val="0"/>
                              </a:ext>
                            </a:extLst>
                          </a:blip>
                          <a:srcRect l="27871" t="39593" r="21651" b="40311"/>
                          <a:stretch/>
                        </pic:blipFill>
                        <pic:spPr bwMode="auto">
                          <a:xfrm>
                            <a:off x="4781550" y="0"/>
                            <a:ext cx="1593215" cy="4508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294FECA" id="Groupe 13" o:spid="_x0000_s1026" style="position:absolute;left:0;text-align:left;margin-left:33.2pt;margin-top:-52.55pt;width:537.8pt;height:48.25pt;z-index:251659264;mso-position-horizontal-relative:page;mso-width-relative:margin" coordsize="67246,6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">
                <v:rect id="Rectangle 2" o:spid="_x0000_s1027" style="position:absolute;top:1047;width:45624;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textbox>
                    <w:txbxContent>
                      <w:p w:rsidR="003D74BD" w:rsidRPr="00C310AB" w:rsidRDefault="003D74BD" w:rsidP="009E3D55">
                        <w:pPr>
                          <w:pStyle w:val="MDPI11articletype"/>
                          <w:spacing w:before="0" w:after="0" w:line="240" w:lineRule="auto"/>
                          <w:ind w:left="-142"/>
                          <w:jc w:val="left"/>
                          <w:rPr>
                            <w:color w:val="0070C0"/>
                            <w:sz w:val="20"/>
                            <w:szCs w:val="20"/>
                            <w:lang w:val="en-US"/>
                          </w:rPr>
                        </w:pPr>
                        <w:r w:rsidRPr="00C310AB">
                          <w:rPr>
                            <w:color w:val="0070C0"/>
                            <w:sz w:val="20"/>
                            <w:szCs w:val="20"/>
                            <w:lang w:val="en-US"/>
                          </w:rPr>
                          <w:t>KIVU MEDICAL JOURNAL</w:t>
                        </w:r>
                      </w:p>
                      <w:p w:rsidR="003D74BD" w:rsidRPr="00C310AB" w:rsidRDefault="003D74BD" w:rsidP="009E3D55">
                        <w:pPr>
                          <w:pStyle w:val="MDPI11articletype"/>
                          <w:spacing w:before="0"/>
                          <w:ind w:left="-142"/>
                          <w:jc w:val="left"/>
                          <w:rPr>
                            <w:color w:val="0070C0"/>
                            <w:sz w:val="22"/>
                            <w:szCs w:val="20"/>
                            <w:lang w:val="en-US"/>
                          </w:rPr>
                        </w:pPr>
                        <w:r>
                          <w:rPr>
                            <w:color w:val="0070C0"/>
                            <w:sz w:val="20"/>
                            <w:szCs w:val="20"/>
                            <w:lang w:val="en-US"/>
                          </w:rPr>
                          <w:t>e-ISSN: 2710-1894</w:t>
                        </w:r>
                        <w:r w:rsidRPr="00C310AB">
                          <w:rPr>
                            <w:rFonts w:ascii="MV Boli" w:hAnsi="MV Boli" w:cs="MV Boli"/>
                            <w:color w:val="0070C0"/>
                            <w:sz w:val="20"/>
                            <w:szCs w:val="20"/>
                            <w:lang w:val="en-US"/>
                          </w:rPr>
                          <w:t xml:space="preserve"> </w:t>
                        </w:r>
                        <w:r>
                          <w:rPr>
                            <w:color w:val="0070C0"/>
                            <w:sz w:val="20"/>
                            <w:szCs w:val="20"/>
                            <w:lang w:val="en-US"/>
                          </w:rPr>
                          <w:t>p-ISSN: 2710-1886</w:t>
                        </w:r>
                      </w:p>
                    </w:txbxContent>
                  </v:textbox>
                </v:rect>
                <v:rect id="Rectangle 18" o:spid="_x0000_s1028" style="position:absolute;left:44958;top:3651;width:22288;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" fillcolor="white [3212]" stroked="f" strokeweight="1pt">
                  <v:textbox>
                    <w:txbxContent>
                      <w:p w:rsidR="003D74BD" w:rsidRPr="007A01B2" w:rsidRDefault="003D74BD" w:rsidP="009E3D55">
                        <w:pPr>
                          <w:jc w:val="center"/>
                          <w:rPr>
                            <w:b/>
                            <w:color w:val="0070C0"/>
                            <w:sz w:val="36"/>
                          </w:rPr>
                        </w:pPr>
                        <w:hyperlink r:id="rId10" w:history="1">
                          <w:r w:rsidRPr="007A01B2">
                            <w:rPr>
                              <w:rStyle w:val="Lienhypertexte"/>
                              <w:color w:val="0070C0"/>
                              <w:sz w:val="18"/>
                            </w:rPr>
                            <w:t>https://www.kivumedicaljournal.com</w:t>
                          </w:r>
                        </w:hyperlink>
                      </w:p>
                      <w:p w:rsidR="003D74BD" w:rsidRPr="00814947" w:rsidRDefault="003D74BD" w:rsidP="009E3D55">
                        <w:pPr>
                          <w:pStyle w:val="MDPI11articletype"/>
                          <w:spacing w:before="0"/>
                          <w:jc w:val="center"/>
                          <w:rPr>
                            <w:color w:val="0070C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9" type="#_x0000_t75" style="position:absolute;left:47815;width:1593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">
                  <v:imagedata r:id="rId11" o:title="LOGO 2 CHASUMBA 4 TRANSPARENT é" croptop="25948f" cropbottom="26418f" cropleft="18266f" cropright="14189f"/>
                  <v:path arrowok="t"/>
                </v:shape>
                <w10:wrap anchorx="page"/>
              </v:group>
            </w:pict>
          </mc:Fallback>
        </mc:AlternateContent>
      </w:r>
    </w:p>
    <w:p w:rsidR="002A75F5" w:rsidRPr="00B108D9" w:rsidRDefault="00424FC0" w:rsidP="00B108D9">
      <w:pPr>
        <w:jc w:val="center"/>
        <w:rPr>
          <w:rFonts w:ascii="Palatino Linotype" w:eastAsia="Times New Roman" w:hAnsi="Palatino Linotype" w:cs="Arial"/>
          <w:b/>
          <w:snapToGrid w:val="0"/>
          <w:color w:val="000000"/>
          <w:sz w:val="36"/>
          <w:szCs w:val="24"/>
          <w:lang w:eastAsia="de-DE" w:bidi="en-US"/>
        </w:rPr>
      </w:pPr>
      <w:r w:rsidRPr="00424FC0">
        <w:rPr>
          <w:rFonts w:ascii="Palatino Linotype" w:eastAsia="Times New Roman" w:hAnsi="Palatino Linotype" w:cs="Arial"/>
          <w:b/>
          <w:snapToGrid w:val="0"/>
          <w:color w:val="000000"/>
          <w:sz w:val="36"/>
          <w:szCs w:val="24"/>
          <w:lang w:eastAsia="de-DE" w:bidi="en-US"/>
        </w:rPr>
        <w:t>Evaluation de la viabilité des 4 mutuelles de santé en milieu urbain africain : Cas de la ville de Goma à l’est de la RD Congo</w:t>
      </w:r>
      <w:r w:rsidR="00B108D9" w:rsidRPr="00B108D9">
        <w:rPr>
          <w:rFonts w:ascii="Palatino Linotype" w:eastAsia="Times New Roman" w:hAnsi="Palatino Linotype" w:cs="Arial"/>
          <w:b/>
          <w:snapToGrid w:val="0"/>
          <w:color w:val="000000"/>
          <w:sz w:val="36"/>
          <w:szCs w:val="24"/>
          <w:lang w:eastAsia="de-DE" w:bidi="en-US"/>
        </w:rPr>
        <w:t>.</w:t>
      </w:r>
    </w:p>
    <w:p w:rsidR="00424FC0" w:rsidRPr="00B728C3" w:rsidRDefault="00424FC0" w:rsidP="00424FC0">
      <w:pPr>
        <w:jc w:val="center"/>
        <w:rPr>
          <w:rFonts w:ascii="Palatino Linotype" w:eastAsia="Times New Roman" w:hAnsi="Palatino Linotype" w:cs="Arial"/>
          <w:b/>
          <w:snapToGrid w:val="0"/>
          <w:color w:val="000000"/>
          <w:sz w:val="36"/>
          <w:szCs w:val="24"/>
          <w:lang w:val="en-US" w:eastAsia="de-DE" w:bidi="en-US"/>
        </w:rPr>
      </w:pPr>
      <w:r w:rsidRPr="00B728C3">
        <w:rPr>
          <w:rFonts w:ascii="Palatino Linotype" w:eastAsia="Times New Roman" w:hAnsi="Palatino Linotype" w:cs="Arial"/>
          <w:b/>
          <w:snapToGrid w:val="0"/>
          <w:color w:val="000000"/>
          <w:sz w:val="36"/>
          <w:szCs w:val="24"/>
          <w:lang w:val="en-US" w:eastAsia="de-DE" w:bidi="en-US"/>
        </w:rPr>
        <w:t>Evaluation of the viability of 4 mutual health insurance companies in urban Africa: the case of Goma in eastern DR Congo</w:t>
      </w:r>
      <w:r w:rsidR="00B728C3">
        <w:rPr>
          <w:rFonts w:ascii="Palatino Linotype" w:eastAsia="Times New Roman" w:hAnsi="Palatino Linotype" w:cs="Arial"/>
          <w:b/>
          <w:snapToGrid w:val="0"/>
          <w:color w:val="000000"/>
          <w:sz w:val="36"/>
          <w:szCs w:val="24"/>
          <w:lang w:val="en-US" w:eastAsia="de-DE" w:bidi="en-US"/>
        </w:rPr>
        <w:t>.</w:t>
      </w:r>
    </w:p>
    <w:tbl>
      <w:tblPr>
        <w:tblpPr w:leftFromText="198" w:rightFromText="198" w:vertAnchor="page" w:horzAnchor="margin" w:tblpY="6864"/>
        <w:tblW w:w="2689" w:type="dxa"/>
        <w:shd w:val="clear" w:color="auto" w:fill="FFFFFF" w:themeFill="background1"/>
        <w:tblLayout w:type="fixed"/>
        <w:tblLook w:val="04A0" w:firstRow="1" w:lastRow="0" w:firstColumn="1" w:lastColumn="0" w:noHBand="0" w:noVBand="1"/>
      </w:tblPr>
      <w:tblGrid>
        <w:gridCol w:w="2689"/>
      </w:tblGrid>
      <w:tr w:rsidR="004A473D" w:rsidRPr="0056100F" w:rsidTr="000C2A53">
        <w:tc>
          <w:tcPr>
            <w:tcW w:w="2689" w:type="dxa"/>
            <w:shd w:val="clear" w:color="auto" w:fill="FFFFFF" w:themeFill="background1"/>
          </w:tcPr>
          <w:p w:rsidR="004A473D" w:rsidRPr="00B728C3" w:rsidRDefault="004A473D" w:rsidP="000C2A53">
            <w:pPr>
              <w:jc w:val="both"/>
              <w:rPr>
                <w:rFonts w:cs="Arial"/>
                <w:b/>
                <w:sz w:val="28"/>
                <w:lang w:val="en-US"/>
              </w:rPr>
            </w:pPr>
            <w:r w:rsidRPr="00B728C3">
              <w:rPr>
                <w:rFonts w:ascii="Palatino Linotype" w:eastAsia="DengXian" w:hAnsi="Palatino Linotype" w:cs="Times New Roman"/>
                <w:bCs/>
                <w:snapToGrid w:val="0"/>
                <w:color w:val="000000"/>
                <w:sz w:val="14"/>
                <w:szCs w:val="20"/>
                <w:lang w:val="en-US" w:eastAsia="de-DE" w:bidi="en-US"/>
              </w:rPr>
              <w:t xml:space="preserve">Pour citer </w:t>
            </w:r>
            <w:proofErr w:type="spellStart"/>
            <w:r w:rsidRPr="00B728C3">
              <w:rPr>
                <w:rFonts w:ascii="Palatino Linotype" w:eastAsia="DengXian" w:hAnsi="Palatino Linotype" w:cs="Times New Roman"/>
                <w:bCs/>
                <w:snapToGrid w:val="0"/>
                <w:color w:val="000000"/>
                <w:sz w:val="14"/>
                <w:szCs w:val="20"/>
                <w:lang w:val="en-US" w:eastAsia="de-DE" w:bidi="en-US"/>
              </w:rPr>
              <w:t>cet</w:t>
            </w:r>
            <w:proofErr w:type="spellEnd"/>
            <w:r w:rsidRPr="00B728C3">
              <w:rPr>
                <w:rFonts w:ascii="Palatino Linotype" w:eastAsia="DengXian" w:hAnsi="Palatino Linotype" w:cs="Times New Roman"/>
                <w:bCs/>
                <w:snapToGrid w:val="0"/>
                <w:color w:val="000000"/>
                <w:sz w:val="14"/>
                <w:szCs w:val="20"/>
                <w:lang w:val="en-US" w:eastAsia="de-DE" w:bidi="en-US"/>
              </w:rPr>
              <w:t xml:space="preserve"> </w:t>
            </w:r>
            <w:proofErr w:type="gramStart"/>
            <w:r w:rsidRPr="00B728C3">
              <w:rPr>
                <w:rFonts w:ascii="Palatino Linotype" w:eastAsia="DengXian" w:hAnsi="Palatino Linotype" w:cs="Times New Roman"/>
                <w:bCs/>
                <w:snapToGrid w:val="0"/>
                <w:color w:val="000000"/>
                <w:sz w:val="14"/>
                <w:szCs w:val="20"/>
                <w:lang w:val="en-US" w:eastAsia="de-DE" w:bidi="en-US"/>
              </w:rPr>
              <w:t>article :</w:t>
            </w:r>
            <w:proofErr w:type="gramEnd"/>
            <w:r w:rsidRPr="00B728C3">
              <w:rPr>
                <w:rFonts w:ascii="Palatino Linotype" w:eastAsia="DengXian" w:hAnsi="Palatino Linotype" w:cs="Times New Roman"/>
                <w:bCs/>
                <w:snapToGrid w:val="0"/>
                <w:color w:val="000000"/>
                <w:sz w:val="14"/>
                <w:szCs w:val="20"/>
                <w:lang w:val="en-US" w:eastAsia="de-DE" w:bidi="en-US"/>
              </w:rPr>
              <w:t xml:space="preserve">  </w:t>
            </w:r>
            <w:proofErr w:type="spellStart"/>
            <w:r w:rsidRPr="00B728C3">
              <w:rPr>
                <w:rFonts w:ascii="Palatino Linotype" w:eastAsia="DengXian" w:hAnsi="Palatino Linotype" w:cs="Times New Roman"/>
                <w:bCs/>
                <w:snapToGrid w:val="0"/>
                <w:color w:val="000000"/>
                <w:sz w:val="14"/>
                <w:szCs w:val="20"/>
                <w:lang w:val="en-US" w:eastAsia="de-DE" w:bidi="en-US"/>
              </w:rPr>
              <w:t>Murhabazi</w:t>
            </w:r>
            <w:proofErr w:type="spellEnd"/>
            <w:r w:rsidRPr="00B728C3">
              <w:rPr>
                <w:rFonts w:ascii="Palatino Linotype" w:eastAsia="DengXian" w:hAnsi="Palatino Linotype" w:cs="Times New Roman"/>
                <w:bCs/>
                <w:snapToGrid w:val="0"/>
                <w:color w:val="000000"/>
                <w:sz w:val="14"/>
                <w:szCs w:val="20"/>
                <w:lang w:val="en-US" w:eastAsia="de-DE" w:bidi="en-US"/>
              </w:rPr>
              <w:t xml:space="preserve"> JN, </w:t>
            </w:r>
            <w:proofErr w:type="spellStart"/>
            <w:r w:rsidRPr="00B728C3">
              <w:rPr>
                <w:rFonts w:ascii="Palatino Linotype" w:eastAsia="DengXian" w:hAnsi="Palatino Linotype" w:cs="Times New Roman"/>
                <w:bCs/>
                <w:snapToGrid w:val="0"/>
                <w:color w:val="000000"/>
                <w:sz w:val="14"/>
                <w:szCs w:val="20"/>
                <w:lang w:val="en-US" w:eastAsia="de-DE" w:bidi="en-US"/>
              </w:rPr>
              <w:t>Kimanuka</w:t>
            </w:r>
            <w:proofErr w:type="spellEnd"/>
            <w:r w:rsidRPr="00B728C3">
              <w:rPr>
                <w:rFonts w:ascii="Palatino Linotype" w:eastAsia="DengXian" w:hAnsi="Palatino Linotype" w:cs="Times New Roman"/>
                <w:bCs/>
                <w:snapToGrid w:val="0"/>
                <w:color w:val="000000"/>
                <w:sz w:val="14"/>
                <w:szCs w:val="20"/>
                <w:lang w:val="en-US" w:eastAsia="de-DE" w:bidi="en-US"/>
              </w:rPr>
              <w:t xml:space="preserve"> CR, </w:t>
            </w:r>
            <w:proofErr w:type="spellStart"/>
            <w:r w:rsidRPr="00B728C3">
              <w:rPr>
                <w:rFonts w:ascii="Palatino Linotype" w:eastAsia="DengXian" w:hAnsi="Palatino Linotype" w:cs="Times New Roman"/>
                <w:bCs/>
                <w:snapToGrid w:val="0"/>
                <w:color w:val="000000"/>
                <w:sz w:val="14"/>
                <w:szCs w:val="20"/>
                <w:lang w:val="en-US" w:eastAsia="de-DE" w:bidi="en-US"/>
              </w:rPr>
              <w:t>Tsongo</w:t>
            </w:r>
            <w:proofErr w:type="spellEnd"/>
            <w:r w:rsidRPr="00B728C3">
              <w:rPr>
                <w:rFonts w:ascii="Palatino Linotype" w:eastAsia="DengXian" w:hAnsi="Palatino Linotype" w:cs="Times New Roman"/>
                <w:bCs/>
                <w:snapToGrid w:val="0"/>
                <w:color w:val="000000"/>
                <w:sz w:val="14"/>
                <w:szCs w:val="20"/>
                <w:lang w:val="en-US" w:eastAsia="de-DE" w:bidi="en-US"/>
              </w:rPr>
              <w:t xml:space="preserve"> ZK, </w:t>
            </w:r>
            <w:proofErr w:type="spellStart"/>
            <w:r w:rsidRPr="00B728C3">
              <w:rPr>
                <w:rFonts w:ascii="Palatino Linotype" w:eastAsia="DengXian" w:hAnsi="Palatino Linotype" w:cs="Times New Roman"/>
                <w:bCs/>
                <w:snapToGrid w:val="0"/>
                <w:color w:val="000000"/>
                <w:sz w:val="14"/>
                <w:szCs w:val="20"/>
                <w:lang w:val="en-US" w:eastAsia="de-DE" w:bidi="en-US"/>
              </w:rPr>
              <w:t>Kabesha</w:t>
            </w:r>
            <w:proofErr w:type="spellEnd"/>
            <w:r w:rsidRPr="00B728C3">
              <w:rPr>
                <w:rFonts w:ascii="Palatino Linotype" w:eastAsia="DengXian" w:hAnsi="Palatino Linotype" w:cs="Times New Roman"/>
                <w:bCs/>
                <w:snapToGrid w:val="0"/>
                <w:color w:val="000000"/>
                <w:sz w:val="14"/>
                <w:szCs w:val="20"/>
                <w:lang w:val="en-US" w:eastAsia="de-DE" w:bidi="en-US"/>
              </w:rPr>
              <w:t xml:space="preserve"> AT, </w:t>
            </w:r>
            <w:proofErr w:type="spellStart"/>
            <w:r w:rsidRPr="00B728C3">
              <w:rPr>
                <w:rFonts w:ascii="Palatino Linotype" w:eastAsia="DengXian" w:hAnsi="Palatino Linotype" w:cs="Times New Roman"/>
                <w:bCs/>
                <w:snapToGrid w:val="0"/>
                <w:color w:val="000000"/>
                <w:sz w:val="14"/>
                <w:szCs w:val="20"/>
                <w:lang w:val="en-US" w:eastAsia="de-DE" w:bidi="en-US"/>
              </w:rPr>
              <w:t>Biya</w:t>
            </w:r>
            <w:proofErr w:type="spellEnd"/>
            <w:r w:rsidRPr="00B728C3">
              <w:rPr>
                <w:rFonts w:ascii="Palatino Linotype" w:eastAsia="DengXian" w:hAnsi="Palatino Linotype" w:cs="Times New Roman"/>
                <w:bCs/>
                <w:snapToGrid w:val="0"/>
                <w:color w:val="000000"/>
                <w:sz w:val="14"/>
                <w:szCs w:val="20"/>
                <w:lang w:val="en-US" w:eastAsia="de-DE" w:bidi="en-US"/>
              </w:rPr>
              <w:t xml:space="preserve"> RK, </w:t>
            </w:r>
            <w:proofErr w:type="spellStart"/>
            <w:r w:rsidRPr="00B728C3">
              <w:rPr>
                <w:rFonts w:ascii="Palatino Linotype" w:eastAsia="DengXian" w:hAnsi="Palatino Linotype" w:cs="Times New Roman"/>
                <w:bCs/>
                <w:snapToGrid w:val="0"/>
                <w:color w:val="000000"/>
                <w:sz w:val="14"/>
                <w:szCs w:val="20"/>
                <w:lang w:val="en-US" w:eastAsia="de-DE" w:bidi="en-US"/>
              </w:rPr>
              <w:t>Inipavudu</w:t>
            </w:r>
            <w:proofErr w:type="spellEnd"/>
            <w:r w:rsidRPr="00B728C3">
              <w:rPr>
                <w:rFonts w:ascii="Palatino Linotype" w:eastAsia="DengXian" w:hAnsi="Palatino Linotype" w:cs="Times New Roman"/>
                <w:bCs/>
                <w:snapToGrid w:val="0"/>
                <w:color w:val="000000"/>
                <w:sz w:val="14"/>
                <w:szCs w:val="20"/>
                <w:lang w:val="en-US" w:eastAsia="de-DE" w:bidi="en-US"/>
              </w:rPr>
              <w:t xml:space="preserve"> JB, </w:t>
            </w:r>
            <w:proofErr w:type="spellStart"/>
            <w:r w:rsidRPr="00B728C3">
              <w:rPr>
                <w:rFonts w:ascii="Palatino Linotype" w:eastAsia="DengXian" w:hAnsi="Palatino Linotype" w:cs="Times New Roman"/>
                <w:bCs/>
                <w:snapToGrid w:val="0"/>
                <w:color w:val="000000"/>
                <w:sz w:val="14"/>
                <w:szCs w:val="20"/>
                <w:lang w:val="en-US" w:eastAsia="de-DE" w:bidi="en-US"/>
              </w:rPr>
              <w:t>Muhemedi</w:t>
            </w:r>
            <w:proofErr w:type="spellEnd"/>
            <w:r w:rsidRPr="00B728C3">
              <w:rPr>
                <w:rFonts w:ascii="Palatino Linotype" w:eastAsia="DengXian" w:hAnsi="Palatino Linotype" w:cs="Times New Roman"/>
                <w:bCs/>
                <w:snapToGrid w:val="0"/>
                <w:color w:val="000000"/>
                <w:sz w:val="14"/>
                <w:szCs w:val="20"/>
                <w:lang w:val="en-US" w:eastAsia="de-DE" w:bidi="en-US"/>
              </w:rPr>
              <w:t xml:space="preserve"> TM, </w:t>
            </w:r>
            <w:proofErr w:type="spellStart"/>
            <w:r w:rsidRPr="00B728C3">
              <w:rPr>
                <w:rFonts w:ascii="Palatino Linotype" w:eastAsia="DengXian" w:hAnsi="Palatino Linotype" w:cs="Times New Roman"/>
                <w:bCs/>
                <w:snapToGrid w:val="0"/>
                <w:color w:val="000000"/>
                <w:sz w:val="14"/>
                <w:szCs w:val="20"/>
                <w:lang w:val="en-US" w:eastAsia="de-DE" w:bidi="en-US"/>
              </w:rPr>
              <w:t>Masika</w:t>
            </w:r>
            <w:proofErr w:type="spellEnd"/>
            <w:r w:rsidRPr="00B728C3">
              <w:rPr>
                <w:rFonts w:ascii="Palatino Linotype" w:eastAsia="DengXian" w:hAnsi="Palatino Linotype" w:cs="Times New Roman"/>
                <w:bCs/>
                <w:snapToGrid w:val="0"/>
                <w:color w:val="000000"/>
                <w:sz w:val="14"/>
                <w:szCs w:val="20"/>
                <w:lang w:val="en-US" w:eastAsia="de-DE" w:bidi="en-US"/>
              </w:rPr>
              <w:t xml:space="preserve"> ZM, </w:t>
            </w:r>
            <w:proofErr w:type="spellStart"/>
            <w:r w:rsidRPr="00B728C3">
              <w:rPr>
                <w:rFonts w:ascii="Palatino Linotype" w:eastAsia="DengXian" w:hAnsi="Palatino Linotype" w:cs="Times New Roman"/>
                <w:bCs/>
                <w:snapToGrid w:val="0"/>
                <w:color w:val="000000"/>
                <w:sz w:val="14"/>
                <w:szCs w:val="20"/>
                <w:lang w:val="en-US" w:eastAsia="de-DE" w:bidi="en-US"/>
              </w:rPr>
              <w:t>Barigereka</w:t>
            </w:r>
            <w:proofErr w:type="spellEnd"/>
            <w:r w:rsidRPr="00B728C3">
              <w:rPr>
                <w:rFonts w:ascii="Palatino Linotype" w:eastAsia="DengXian" w:hAnsi="Palatino Linotype" w:cs="Times New Roman"/>
                <w:bCs/>
                <w:snapToGrid w:val="0"/>
                <w:color w:val="000000"/>
                <w:sz w:val="14"/>
                <w:szCs w:val="20"/>
                <w:lang w:val="en-US" w:eastAsia="de-DE" w:bidi="en-US"/>
              </w:rPr>
              <w:t xml:space="preserve"> LN, Imani PM, </w:t>
            </w:r>
            <w:proofErr w:type="spellStart"/>
            <w:r w:rsidRPr="00B728C3">
              <w:rPr>
                <w:rFonts w:ascii="Palatino Linotype" w:eastAsia="DengXian" w:hAnsi="Palatino Linotype" w:cs="Times New Roman"/>
                <w:bCs/>
                <w:snapToGrid w:val="0"/>
                <w:color w:val="000000"/>
                <w:sz w:val="14"/>
                <w:szCs w:val="20"/>
                <w:lang w:val="en-US" w:eastAsia="de-DE" w:bidi="en-US"/>
              </w:rPr>
              <w:t>Murhambo</w:t>
            </w:r>
            <w:proofErr w:type="spellEnd"/>
            <w:r w:rsidRPr="00B728C3">
              <w:rPr>
                <w:rFonts w:ascii="Palatino Linotype" w:eastAsia="DengXian" w:hAnsi="Palatino Linotype" w:cs="Times New Roman"/>
                <w:bCs/>
                <w:snapToGrid w:val="0"/>
                <w:color w:val="000000"/>
                <w:sz w:val="14"/>
                <w:szCs w:val="20"/>
                <w:lang w:val="en-US" w:eastAsia="de-DE" w:bidi="en-US"/>
              </w:rPr>
              <w:t xml:space="preserve"> AN, </w:t>
            </w:r>
            <w:proofErr w:type="spellStart"/>
            <w:r w:rsidRPr="00B728C3">
              <w:rPr>
                <w:rFonts w:ascii="Palatino Linotype" w:eastAsia="DengXian" w:hAnsi="Palatino Linotype" w:cs="Times New Roman"/>
                <w:bCs/>
                <w:snapToGrid w:val="0"/>
                <w:color w:val="000000"/>
                <w:sz w:val="14"/>
                <w:szCs w:val="20"/>
                <w:lang w:val="en-US" w:eastAsia="de-DE" w:bidi="en-US"/>
              </w:rPr>
              <w:t>Wembonyama</w:t>
            </w:r>
            <w:proofErr w:type="spellEnd"/>
            <w:r w:rsidRPr="00B728C3">
              <w:rPr>
                <w:rFonts w:ascii="Palatino Linotype" w:eastAsia="DengXian" w:hAnsi="Palatino Linotype" w:cs="Times New Roman"/>
                <w:bCs/>
                <w:snapToGrid w:val="0"/>
                <w:color w:val="000000"/>
                <w:sz w:val="14"/>
                <w:szCs w:val="20"/>
                <w:lang w:val="en-US" w:eastAsia="de-DE" w:bidi="en-US"/>
              </w:rPr>
              <w:t xml:space="preserve"> SO.  </w:t>
            </w:r>
            <w:r w:rsidRPr="004A473D">
              <w:rPr>
                <w:rFonts w:ascii="Palatino Linotype" w:eastAsia="DengXian" w:hAnsi="Palatino Linotype" w:cs="Times New Roman"/>
                <w:bCs/>
                <w:snapToGrid w:val="0"/>
                <w:color w:val="000000"/>
                <w:sz w:val="14"/>
                <w:szCs w:val="20"/>
                <w:lang w:eastAsia="de-DE" w:bidi="en-US"/>
              </w:rPr>
              <w:t>Evaluation de la viabilité des 4 mutuelles de santé en milieu urbain africain : Cas de la ville de Goma à l’est de la RD Congo</w:t>
            </w:r>
            <w:r>
              <w:rPr>
                <w:rFonts w:ascii="Palatino Linotype" w:eastAsia="DengXian" w:hAnsi="Palatino Linotype" w:cs="Times New Roman"/>
                <w:bCs/>
                <w:snapToGrid w:val="0"/>
                <w:color w:val="000000"/>
                <w:sz w:val="14"/>
                <w:szCs w:val="20"/>
                <w:lang w:eastAsia="de-DE" w:bidi="en-US"/>
              </w:rPr>
              <w:t>.</w:t>
            </w:r>
            <w:r w:rsidRPr="004A473D">
              <w:rPr>
                <w:rFonts w:ascii="Palatino Linotype" w:eastAsia="DengXian" w:hAnsi="Palatino Linotype" w:cs="Times New Roman"/>
                <w:bCs/>
                <w:snapToGrid w:val="0"/>
                <w:color w:val="000000"/>
                <w:sz w:val="14"/>
                <w:szCs w:val="20"/>
                <w:lang w:eastAsia="de-DE" w:bidi="en-US"/>
              </w:rPr>
              <w:t xml:space="preserve"> </w:t>
            </w:r>
            <w:r w:rsidRPr="00B728C3">
              <w:rPr>
                <w:rFonts w:ascii="Palatino Linotype" w:eastAsia="DengXian" w:hAnsi="Palatino Linotype" w:cs="Times New Roman"/>
                <w:bCs/>
                <w:snapToGrid w:val="0"/>
                <w:color w:val="000000"/>
                <w:sz w:val="14"/>
                <w:szCs w:val="20"/>
                <w:lang w:val="en-US" w:eastAsia="de-DE" w:bidi="en-US"/>
              </w:rPr>
              <w:t>Kivu</w:t>
            </w:r>
            <w:r w:rsidRPr="00B728C3">
              <w:rPr>
                <w:rFonts w:eastAsia="DengXian"/>
                <w:bCs/>
                <w:sz w:val="14"/>
                <w:szCs w:val="20"/>
                <w:lang w:val="en-US"/>
              </w:rPr>
              <w:t xml:space="preserve"> </w:t>
            </w:r>
            <w:r w:rsidR="000C2A53" w:rsidRPr="00B728C3">
              <w:rPr>
                <w:rFonts w:eastAsia="DengXian"/>
                <w:bCs/>
                <w:sz w:val="14"/>
                <w:szCs w:val="20"/>
                <w:lang w:val="en-US"/>
              </w:rPr>
              <w:t xml:space="preserve">Medical Journal </w:t>
            </w:r>
            <w:proofErr w:type="gramStart"/>
            <w:r w:rsidR="000C2A53" w:rsidRPr="00B728C3">
              <w:rPr>
                <w:rFonts w:eastAsia="DengXian"/>
                <w:bCs/>
                <w:sz w:val="14"/>
                <w:szCs w:val="20"/>
                <w:lang w:val="en-US"/>
              </w:rPr>
              <w:t>2025 ;</w:t>
            </w:r>
            <w:proofErr w:type="gramEnd"/>
            <w:r w:rsidR="000C2A53" w:rsidRPr="00B728C3">
              <w:rPr>
                <w:rFonts w:eastAsia="DengXian"/>
                <w:bCs/>
                <w:sz w:val="14"/>
                <w:szCs w:val="20"/>
                <w:lang w:val="en-US"/>
              </w:rPr>
              <w:t xml:space="preserve"> 3(3), 1-10</w:t>
            </w:r>
          </w:p>
          <w:p w:rsidR="004A473D" w:rsidRPr="00B728C3" w:rsidRDefault="00B728C3" w:rsidP="000C2A53">
            <w:pPr>
              <w:adjustRightInd w:val="0"/>
              <w:snapToGrid w:val="0"/>
              <w:spacing w:before="60" w:after="0"/>
              <w:ind w:right="113"/>
              <w:rPr>
                <w:rFonts w:ascii="Palatino Linotype" w:eastAsia="DengXian" w:hAnsi="Palatino Linotype"/>
                <w:bCs/>
                <w:sz w:val="14"/>
                <w:szCs w:val="20"/>
                <w:lang w:val="en-US" w:bidi="en-US"/>
              </w:rPr>
            </w:pPr>
            <w:r>
              <w:rPr>
                <w:rFonts w:ascii="Palatino Linotype" w:eastAsia="DengXian" w:hAnsi="Palatino Linotype"/>
                <w:bCs/>
                <w:sz w:val="14"/>
                <w:szCs w:val="20"/>
                <w:lang w:val="en-US" w:bidi="en-US"/>
              </w:rPr>
              <w:t xml:space="preserve">Article </w:t>
            </w:r>
            <w:proofErr w:type="spellStart"/>
            <w:proofErr w:type="gramStart"/>
            <w:r>
              <w:rPr>
                <w:rFonts w:ascii="Palatino Linotype" w:eastAsia="DengXian" w:hAnsi="Palatino Linotype"/>
                <w:bCs/>
                <w:sz w:val="14"/>
                <w:szCs w:val="20"/>
                <w:lang w:val="en-US" w:bidi="en-US"/>
              </w:rPr>
              <w:t>reçu</w:t>
            </w:r>
            <w:proofErr w:type="spellEnd"/>
            <w:r>
              <w:rPr>
                <w:rFonts w:ascii="Palatino Linotype" w:eastAsia="DengXian" w:hAnsi="Palatino Linotype"/>
                <w:bCs/>
                <w:sz w:val="14"/>
                <w:szCs w:val="20"/>
                <w:lang w:val="en-US" w:bidi="en-US"/>
              </w:rPr>
              <w:t xml:space="preserve"> :</w:t>
            </w:r>
            <w:proofErr w:type="gramEnd"/>
            <w:r>
              <w:rPr>
                <w:rFonts w:ascii="Palatino Linotype" w:eastAsia="DengXian" w:hAnsi="Palatino Linotype"/>
                <w:bCs/>
                <w:sz w:val="14"/>
                <w:szCs w:val="20"/>
                <w:lang w:val="en-US" w:bidi="en-US"/>
              </w:rPr>
              <w:t xml:space="preserve">  23-09</w:t>
            </w:r>
            <w:r w:rsidR="004A473D" w:rsidRPr="00B728C3">
              <w:rPr>
                <w:rFonts w:ascii="Palatino Linotype" w:eastAsia="DengXian" w:hAnsi="Palatino Linotype"/>
                <w:bCs/>
                <w:sz w:val="14"/>
                <w:szCs w:val="20"/>
                <w:lang w:val="en-US" w:bidi="en-US"/>
              </w:rPr>
              <w:t xml:space="preserve">-2025        </w:t>
            </w:r>
          </w:p>
          <w:p w:rsidR="004A473D" w:rsidRPr="00B728C3" w:rsidRDefault="00B728C3" w:rsidP="000C2A53">
            <w:pPr>
              <w:adjustRightInd w:val="0"/>
              <w:snapToGrid w:val="0"/>
              <w:spacing w:before="60" w:after="0"/>
              <w:ind w:right="113"/>
              <w:rPr>
                <w:rFonts w:ascii="Palatino Linotype" w:eastAsia="DengXian" w:hAnsi="Palatino Linotype"/>
                <w:bCs/>
                <w:sz w:val="14"/>
                <w:szCs w:val="20"/>
                <w:lang w:val="en-US" w:bidi="en-US"/>
              </w:rPr>
            </w:pPr>
            <w:proofErr w:type="spellStart"/>
            <w:r>
              <w:rPr>
                <w:rFonts w:ascii="Palatino Linotype" w:eastAsia="DengXian" w:hAnsi="Palatino Linotype"/>
                <w:bCs/>
                <w:sz w:val="14"/>
                <w:szCs w:val="20"/>
                <w:lang w:val="en-US" w:bidi="en-US"/>
              </w:rPr>
              <w:t>Accepté</w:t>
            </w:r>
            <w:proofErr w:type="spellEnd"/>
            <w:r>
              <w:rPr>
                <w:rFonts w:ascii="Palatino Linotype" w:eastAsia="DengXian" w:hAnsi="Palatino Linotype"/>
                <w:bCs/>
                <w:sz w:val="14"/>
                <w:szCs w:val="20"/>
                <w:lang w:val="en-US" w:bidi="en-US"/>
              </w:rPr>
              <w:t xml:space="preserve">     </w:t>
            </w:r>
            <w:proofErr w:type="gramStart"/>
            <w:r>
              <w:rPr>
                <w:rFonts w:ascii="Palatino Linotype" w:eastAsia="DengXian" w:hAnsi="Palatino Linotype"/>
                <w:bCs/>
                <w:sz w:val="14"/>
                <w:szCs w:val="20"/>
                <w:lang w:val="en-US" w:bidi="en-US"/>
              </w:rPr>
              <w:t xml:space="preserve">  :</w:t>
            </w:r>
            <w:proofErr w:type="gramEnd"/>
            <w:r>
              <w:rPr>
                <w:rFonts w:ascii="Palatino Linotype" w:eastAsia="DengXian" w:hAnsi="Palatino Linotype"/>
                <w:bCs/>
                <w:sz w:val="14"/>
                <w:szCs w:val="20"/>
                <w:lang w:val="en-US" w:bidi="en-US"/>
              </w:rPr>
              <w:t xml:space="preserve">  01-11</w:t>
            </w:r>
            <w:r w:rsidR="004A473D" w:rsidRPr="00B728C3">
              <w:rPr>
                <w:rFonts w:ascii="Palatino Linotype" w:eastAsia="DengXian" w:hAnsi="Palatino Linotype"/>
                <w:bCs/>
                <w:sz w:val="14"/>
                <w:szCs w:val="20"/>
                <w:lang w:val="en-US" w:bidi="en-US"/>
              </w:rPr>
              <w:t>-2025</w:t>
            </w:r>
          </w:p>
          <w:p w:rsidR="004A473D" w:rsidRPr="00B728C3" w:rsidRDefault="00FE2BF0" w:rsidP="000C2A53">
            <w:pPr>
              <w:adjustRightInd w:val="0"/>
              <w:snapToGrid w:val="0"/>
              <w:spacing w:before="60" w:after="0"/>
              <w:ind w:right="113"/>
              <w:rPr>
                <w:rFonts w:ascii="Palatino Linotype" w:eastAsia="DengXian" w:hAnsi="Palatino Linotype"/>
                <w:bCs/>
                <w:sz w:val="14"/>
                <w:szCs w:val="20"/>
                <w:lang w:val="en-US" w:bidi="en-US"/>
              </w:rPr>
            </w:pPr>
            <w:proofErr w:type="spellStart"/>
            <w:r>
              <w:rPr>
                <w:rFonts w:ascii="Palatino Linotype" w:eastAsia="DengXian" w:hAnsi="Palatino Linotype"/>
                <w:bCs/>
                <w:sz w:val="14"/>
                <w:szCs w:val="20"/>
                <w:lang w:val="en-US" w:bidi="en-US"/>
              </w:rPr>
              <w:t>Publié</w:t>
            </w:r>
            <w:proofErr w:type="spellEnd"/>
            <w:r>
              <w:rPr>
                <w:rFonts w:ascii="Palatino Linotype" w:eastAsia="DengXian" w:hAnsi="Palatino Linotype"/>
                <w:bCs/>
                <w:sz w:val="14"/>
                <w:szCs w:val="20"/>
                <w:lang w:val="en-US" w:bidi="en-US"/>
              </w:rPr>
              <w:t xml:space="preserve">        </w:t>
            </w:r>
            <w:proofErr w:type="gramStart"/>
            <w:r>
              <w:rPr>
                <w:rFonts w:ascii="Palatino Linotype" w:eastAsia="DengXian" w:hAnsi="Palatino Linotype"/>
                <w:bCs/>
                <w:sz w:val="14"/>
                <w:szCs w:val="20"/>
                <w:lang w:val="en-US" w:bidi="en-US"/>
              </w:rPr>
              <w:t xml:space="preserve">  :</w:t>
            </w:r>
            <w:proofErr w:type="gramEnd"/>
            <w:r>
              <w:rPr>
                <w:rFonts w:ascii="Palatino Linotype" w:eastAsia="DengXian" w:hAnsi="Palatino Linotype"/>
                <w:bCs/>
                <w:sz w:val="14"/>
                <w:szCs w:val="20"/>
                <w:lang w:val="en-US" w:bidi="en-US"/>
              </w:rPr>
              <w:t xml:space="preserve">  06</w:t>
            </w:r>
            <w:r w:rsidR="004A473D" w:rsidRPr="00B728C3">
              <w:rPr>
                <w:rFonts w:ascii="Palatino Linotype" w:eastAsia="DengXian" w:hAnsi="Palatino Linotype"/>
                <w:bCs/>
                <w:sz w:val="14"/>
                <w:szCs w:val="20"/>
                <w:lang w:val="en-US" w:bidi="en-US"/>
              </w:rPr>
              <w:t>-10-2025</w:t>
            </w:r>
          </w:p>
          <w:p w:rsidR="004A473D" w:rsidRPr="00B728C3" w:rsidRDefault="004A473D" w:rsidP="000C2A53">
            <w:pPr>
              <w:adjustRightInd w:val="0"/>
              <w:snapToGrid w:val="0"/>
              <w:spacing w:before="60" w:after="0"/>
              <w:ind w:right="113"/>
              <w:rPr>
                <w:rFonts w:ascii="Palatino Linotype" w:eastAsia="DengXian" w:hAnsi="Palatino Linotype"/>
                <w:bCs/>
                <w:sz w:val="14"/>
                <w:szCs w:val="20"/>
                <w:lang w:val="en-US" w:bidi="en-US"/>
              </w:rPr>
            </w:pPr>
          </w:p>
          <w:p w:rsidR="004A473D" w:rsidRPr="00167FAD" w:rsidRDefault="004A473D" w:rsidP="000C2A53">
            <w:pPr>
              <w:adjustRightInd w:val="0"/>
              <w:snapToGrid w:val="0"/>
              <w:spacing w:before="60" w:after="0"/>
              <w:ind w:right="113"/>
              <w:rPr>
                <w:rFonts w:ascii="Palatino Linotype" w:eastAsia="DengXian" w:hAnsi="Palatino Linotype"/>
                <w:b/>
                <w:bCs/>
                <w:sz w:val="14"/>
                <w:szCs w:val="20"/>
                <w:lang w:val="en-US" w:bidi="en-US"/>
              </w:rPr>
            </w:pPr>
            <w:r w:rsidRPr="00167FAD">
              <w:rPr>
                <w:rFonts w:ascii="Palatino Linotype" w:eastAsia="DengXian" w:hAnsi="Palatino Linotype"/>
                <w:bCs/>
                <w:sz w:val="14"/>
                <w:szCs w:val="20"/>
                <w:lang w:val="en-US" w:bidi="en-US"/>
              </w:rPr>
              <w:t>Publisher’s Note: KMJ stays neutral with regard to jurisdictional claims in published maps and institutional affiliations.</w:t>
            </w:r>
          </w:p>
          <w:p w:rsidR="004A473D" w:rsidRPr="00167FAD" w:rsidRDefault="004A473D" w:rsidP="000C2A53">
            <w:pPr>
              <w:adjustRightInd w:val="0"/>
              <w:snapToGrid w:val="0"/>
              <w:spacing w:before="60" w:after="0"/>
              <w:ind w:right="113"/>
              <w:rPr>
                <w:rFonts w:ascii="Palatino Linotype" w:eastAsia="DengXian" w:hAnsi="Palatino Linotype"/>
                <w:bCs/>
                <w:sz w:val="14"/>
                <w:szCs w:val="20"/>
                <w:lang w:val="en-US" w:bidi="en-US"/>
              </w:rPr>
            </w:pPr>
            <w:r w:rsidRPr="0056100F">
              <w:rPr>
                <w:rFonts w:ascii="Palatino Linotype" w:eastAsia="DengXian" w:hAnsi="Palatino Linotype"/>
                <w:bCs/>
                <w:noProof/>
                <w:sz w:val="14"/>
                <w:szCs w:val="20"/>
                <w:lang w:eastAsia="fr-FR"/>
              </w:rPr>
              <w:drawing>
                <wp:anchor distT="0" distB="0" distL="114300" distR="114300" simplePos="0" relativeHeight="251661312" behindDoc="0" locked="0" layoutInCell="1" allowOverlap="1" wp14:anchorId="2179EDFB" wp14:editId="5DAB8049">
                  <wp:simplePos x="0" y="0"/>
                  <wp:positionH relativeFrom="column">
                    <wp:posOffset>4445</wp:posOffset>
                  </wp:positionH>
                  <wp:positionV relativeFrom="paragraph">
                    <wp:posOffset>97790</wp:posOffset>
                  </wp:positionV>
                  <wp:extent cx="437515" cy="123825"/>
                  <wp:effectExtent l="0" t="0" r="635" b="9525"/>
                  <wp:wrapNone/>
                  <wp:docPr id="1" name="Image 1" descr="C:\Users\hp\Desktop\JOURNAL UNIGOM\LOGO 2 CHASUMBA 4 TRANSPARENT 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JOURNAL UNIGOM\LOGO 2 CHASUMBA 4 TRANSPARENT é.png"/>
                          <pic:cNvPicPr>
                            <a:picLocks noChangeAspect="1" noChangeArrowheads="1"/>
                          </pic:cNvPicPr>
                        </pic:nvPicPr>
                        <pic:blipFill rotWithShape="1">
                          <a:blip r:embed="rId12" cstate="print">
                            <a:biLevel thresh="25000"/>
                            <a:extLst>
                              <a:ext uri="{BEBA8EAE-BF5A-486C-A8C5-ECC9F3942E4B}">
                                <a14:imgProps xmlns:a14="http://schemas.microsoft.com/office/drawing/2010/main">
                                  <a14:imgLayer r:embed="rId1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27871" t="39593" r="21651" b="40311"/>
                          <a:stretch/>
                        </pic:blipFill>
                        <pic:spPr bwMode="auto">
                          <a:xfrm>
                            <a:off x="0" y="0"/>
                            <a:ext cx="437515" cy="12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A473D" w:rsidRPr="00167FAD" w:rsidRDefault="004A473D" w:rsidP="000C2A53">
            <w:pPr>
              <w:adjustRightInd w:val="0"/>
              <w:snapToGrid w:val="0"/>
              <w:spacing w:before="60" w:after="0"/>
              <w:ind w:right="113"/>
              <w:jc w:val="both"/>
              <w:rPr>
                <w:rFonts w:ascii="Palatino Linotype" w:eastAsia="DengXian" w:hAnsi="Palatino Linotype"/>
                <w:bCs/>
                <w:sz w:val="14"/>
                <w:szCs w:val="20"/>
                <w:lang w:val="en-US" w:bidi="en-US"/>
              </w:rPr>
            </w:pPr>
            <w:proofErr w:type="gramStart"/>
            <w:r w:rsidRPr="00167FAD">
              <w:rPr>
                <w:rFonts w:ascii="Palatino Linotype" w:eastAsia="DengXian" w:hAnsi="Palatino Linotype"/>
                <w:bCs/>
                <w:sz w:val="14"/>
                <w:szCs w:val="20"/>
                <w:lang w:val="en-US" w:bidi="en-US"/>
              </w:rPr>
              <w:t>Copyright :</w:t>
            </w:r>
            <w:proofErr w:type="gramEnd"/>
            <w:r w:rsidRPr="00167FAD">
              <w:rPr>
                <w:rFonts w:ascii="Palatino Linotype" w:eastAsia="DengXian" w:hAnsi="Palatino Linotype"/>
                <w:bCs/>
                <w:sz w:val="14"/>
                <w:szCs w:val="20"/>
                <w:lang w:val="en-US" w:bidi="en-US"/>
              </w:rPr>
              <w:t xml:space="preserve"> © 2025. </w:t>
            </w:r>
            <w:r w:rsidRPr="009C0321">
              <w:rPr>
                <w:rFonts w:ascii="Palatino Linotype" w:hAnsi="Palatino Linotype" w:cs="Times New Roman"/>
                <w:color w:val="000000" w:themeColor="text1"/>
                <w:szCs w:val="24"/>
                <w:lang w:val="en-GB"/>
              </w:rPr>
              <w:t xml:space="preserve"> </w:t>
            </w:r>
            <w:r>
              <w:rPr>
                <w:rFonts w:ascii="Palatino Linotype" w:eastAsia="DengXian" w:hAnsi="Palatino Linotype"/>
                <w:bCs/>
                <w:sz w:val="14"/>
                <w:szCs w:val="20"/>
                <w:lang w:val="en-US" w:bidi="en-US"/>
              </w:rPr>
              <w:t xml:space="preserve">Justin </w:t>
            </w:r>
            <w:proofErr w:type="spellStart"/>
            <w:r>
              <w:rPr>
                <w:rFonts w:ascii="Palatino Linotype" w:eastAsia="DengXian" w:hAnsi="Palatino Linotype"/>
                <w:bCs/>
                <w:sz w:val="14"/>
                <w:szCs w:val="20"/>
                <w:lang w:val="en-US" w:bidi="en-US"/>
              </w:rPr>
              <w:t>Murhabazi</w:t>
            </w:r>
            <w:proofErr w:type="spellEnd"/>
            <w:r>
              <w:rPr>
                <w:rFonts w:ascii="Palatino Linotype" w:eastAsia="DengXian" w:hAnsi="Palatino Linotype"/>
                <w:bCs/>
                <w:sz w:val="14"/>
                <w:szCs w:val="20"/>
                <w:lang w:val="en-US" w:bidi="en-US"/>
              </w:rPr>
              <w:t xml:space="preserve"> </w:t>
            </w:r>
            <w:proofErr w:type="spellStart"/>
            <w:r>
              <w:rPr>
                <w:rFonts w:ascii="Palatino Linotype" w:eastAsia="DengXian" w:hAnsi="Palatino Linotype"/>
                <w:bCs/>
                <w:sz w:val="14"/>
                <w:szCs w:val="20"/>
                <w:lang w:val="en-US" w:bidi="en-US"/>
              </w:rPr>
              <w:t>Ntabiruba</w:t>
            </w:r>
            <w:proofErr w:type="spellEnd"/>
            <w:r>
              <w:rPr>
                <w:rFonts w:ascii="Palatino Linotype" w:eastAsia="DengXian" w:hAnsi="Palatino Linotype"/>
                <w:bCs/>
                <w:sz w:val="14"/>
                <w:szCs w:val="20"/>
                <w:lang w:val="en-US" w:bidi="en-US"/>
              </w:rPr>
              <w:t xml:space="preserve"> </w:t>
            </w:r>
            <w:proofErr w:type="gramStart"/>
            <w:r>
              <w:rPr>
                <w:rFonts w:ascii="Palatino Linotype" w:eastAsia="DengXian" w:hAnsi="Palatino Linotype"/>
                <w:bCs/>
                <w:sz w:val="14"/>
                <w:szCs w:val="20"/>
                <w:lang w:val="en-US" w:bidi="en-US"/>
              </w:rPr>
              <w:t xml:space="preserve">et </w:t>
            </w:r>
            <w:r w:rsidRPr="00CB2215">
              <w:rPr>
                <w:rFonts w:ascii="Palatino Linotype" w:eastAsia="DengXian" w:hAnsi="Palatino Linotype"/>
                <w:bCs/>
                <w:sz w:val="14"/>
                <w:szCs w:val="20"/>
                <w:lang w:val="en-US" w:bidi="en-US"/>
              </w:rPr>
              <w:t xml:space="preserve"> al.</w:t>
            </w:r>
            <w:proofErr w:type="gramEnd"/>
            <w:r w:rsidRPr="00CB2215">
              <w:rPr>
                <w:rFonts w:ascii="Palatino Linotype" w:eastAsia="DengXian" w:hAnsi="Palatino Linotype"/>
                <w:bCs/>
                <w:sz w:val="14"/>
                <w:szCs w:val="20"/>
                <w:lang w:val="en-US" w:bidi="en-US"/>
              </w:rPr>
              <w:t xml:space="preserve"> </w:t>
            </w:r>
            <w:r w:rsidRPr="00167FAD">
              <w:rPr>
                <w:rFonts w:ascii="Palatino Linotype" w:eastAsia="DengXian" w:hAnsi="Palatino Linotype"/>
                <w:bCs/>
                <w:sz w:val="14"/>
                <w:szCs w:val="20"/>
                <w:lang w:val="en-US" w:bidi="en-US"/>
              </w:rPr>
              <w:t>This is an open access article distributed under the Creative Commons Attribution License, which permits unrestricted use, distribution, and reproduction in any medium, provided the original work is properly cited</w:t>
            </w:r>
          </w:p>
          <w:p w:rsidR="004A473D" w:rsidRPr="00167FAD" w:rsidRDefault="004A473D" w:rsidP="000C2A53">
            <w:pPr>
              <w:adjustRightInd w:val="0"/>
              <w:snapToGrid w:val="0"/>
              <w:spacing w:before="60" w:after="0"/>
              <w:ind w:right="113"/>
              <w:rPr>
                <w:rFonts w:ascii="Palatino Linotype" w:eastAsia="DengXian" w:hAnsi="Palatino Linotype"/>
                <w:bCs/>
                <w:sz w:val="14"/>
                <w:szCs w:val="20"/>
                <w:lang w:val="en-US" w:bidi="en-US"/>
              </w:rPr>
            </w:pPr>
          </w:p>
          <w:p w:rsidR="004A473D" w:rsidRDefault="004A473D" w:rsidP="000C2A53">
            <w:pPr>
              <w:adjustRightInd w:val="0"/>
              <w:snapToGrid w:val="0"/>
              <w:spacing w:before="60" w:after="0"/>
              <w:ind w:right="113"/>
              <w:jc w:val="both"/>
              <w:rPr>
                <w:rFonts w:ascii="Palatino Linotype" w:eastAsia="Times New Roman" w:hAnsi="Palatino Linotype" w:cs="Times New Roman"/>
                <w:szCs w:val="24"/>
                <w:lang w:eastAsia="fr-FR"/>
              </w:rPr>
            </w:pPr>
            <w:r w:rsidRPr="0021722C">
              <w:rPr>
                <w:rFonts w:ascii="Palatino Linotype" w:eastAsia="DengXian" w:hAnsi="Palatino Linotype"/>
                <w:bCs/>
                <w:sz w:val="14"/>
                <w:szCs w:val="20"/>
                <w:lang w:bidi="en-US"/>
              </w:rPr>
              <w:t xml:space="preserve">Correspondance : </w:t>
            </w:r>
            <w:r w:rsidRPr="00435D84">
              <w:rPr>
                <w:rFonts w:ascii="Palatino Linotype" w:eastAsia="Times New Roman" w:hAnsi="Palatino Linotype" w:cs="Times New Roman"/>
                <w:szCs w:val="24"/>
                <w:lang w:eastAsia="fr-FR"/>
              </w:rPr>
              <w:t xml:space="preserve"> </w:t>
            </w:r>
          </w:p>
          <w:p w:rsidR="000C2A53" w:rsidRDefault="000C2A53" w:rsidP="000C2A53">
            <w:pPr>
              <w:adjustRightInd w:val="0"/>
              <w:snapToGrid w:val="0"/>
              <w:spacing w:before="60" w:after="0"/>
              <w:ind w:right="113"/>
              <w:jc w:val="both"/>
              <w:rPr>
                <w:rFonts w:ascii="Palatino Linotype" w:eastAsia="DengXian" w:hAnsi="Palatino Linotype"/>
                <w:bCs/>
                <w:sz w:val="14"/>
                <w:szCs w:val="20"/>
                <w:lang w:bidi="en-US"/>
              </w:rPr>
            </w:pPr>
            <w:r w:rsidRPr="000C2A53">
              <w:rPr>
                <w:rFonts w:ascii="Palatino Linotype" w:eastAsia="DengXian" w:hAnsi="Palatino Linotype"/>
                <w:bCs/>
                <w:sz w:val="14"/>
                <w:szCs w:val="20"/>
                <w:lang w:bidi="en-US"/>
              </w:rPr>
              <w:t xml:space="preserve">Justin </w:t>
            </w:r>
            <w:proofErr w:type="spellStart"/>
            <w:r w:rsidRPr="000C2A53">
              <w:rPr>
                <w:rFonts w:ascii="Palatino Linotype" w:eastAsia="DengXian" w:hAnsi="Palatino Linotype"/>
                <w:bCs/>
                <w:sz w:val="14"/>
                <w:szCs w:val="20"/>
                <w:lang w:bidi="en-US"/>
              </w:rPr>
              <w:t>Murhabazi</w:t>
            </w:r>
            <w:proofErr w:type="spellEnd"/>
            <w:r w:rsidRPr="000C2A53">
              <w:rPr>
                <w:rFonts w:ascii="Palatino Linotype" w:eastAsia="DengXian" w:hAnsi="Palatino Linotype"/>
                <w:bCs/>
                <w:sz w:val="14"/>
                <w:szCs w:val="20"/>
                <w:lang w:bidi="en-US"/>
              </w:rPr>
              <w:t xml:space="preserve"> </w:t>
            </w:r>
            <w:proofErr w:type="spellStart"/>
            <w:r w:rsidRPr="000C2A53">
              <w:rPr>
                <w:rFonts w:ascii="Palatino Linotype" w:eastAsia="DengXian" w:hAnsi="Palatino Linotype"/>
                <w:bCs/>
                <w:sz w:val="14"/>
                <w:szCs w:val="20"/>
                <w:lang w:bidi="en-US"/>
              </w:rPr>
              <w:t>Ntabiruba</w:t>
            </w:r>
            <w:proofErr w:type="spellEnd"/>
          </w:p>
          <w:p w:rsidR="00C37303" w:rsidRDefault="000C2A53" w:rsidP="00C37303">
            <w:pPr>
              <w:tabs>
                <w:tab w:val="left" w:pos="2164"/>
              </w:tabs>
              <w:adjustRightInd w:val="0"/>
              <w:snapToGrid w:val="0"/>
              <w:spacing w:before="60" w:after="0"/>
              <w:ind w:right="113"/>
              <w:jc w:val="both"/>
              <w:rPr>
                <w:rFonts w:ascii="Palatino Linotype" w:eastAsia="DengXian" w:hAnsi="Palatino Linotype"/>
                <w:bCs/>
                <w:sz w:val="14"/>
                <w:szCs w:val="20"/>
                <w:lang w:bidi="en-US"/>
              </w:rPr>
            </w:pPr>
            <w:r w:rsidRPr="000C2A53">
              <w:rPr>
                <w:rFonts w:ascii="Palatino Linotype" w:eastAsia="DengXian" w:hAnsi="Palatino Linotype"/>
                <w:bCs/>
                <w:sz w:val="14"/>
                <w:szCs w:val="20"/>
                <w:lang w:bidi="en-US"/>
              </w:rPr>
              <w:t xml:space="preserve">Ecole de Santé Publique, Université de Goma, Goma, </w:t>
            </w:r>
            <w:r>
              <w:rPr>
                <w:rFonts w:ascii="Palatino Linotype" w:eastAsia="DengXian" w:hAnsi="Palatino Linotype"/>
                <w:bCs/>
                <w:sz w:val="14"/>
                <w:szCs w:val="20"/>
                <w:lang w:bidi="en-US"/>
              </w:rPr>
              <w:t xml:space="preserve">RD Congo. Adresse </w:t>
            </w:r>
          </w:p>
          <w:p w:rsidR="004A473D" w:rsidRPr="0056100F" w:rsidRDefault="000C2A53" w:rsidP="00C37303">
            <w:pPr>
              <w:tabs>
                <w:tab w:val="left" w:pos="2164"/>
              </w:tabs>
              <w:adjustRightInd w:val="0"/>
              <w:snapToGrid w:val="0"/>
              <w:spacing w:before="60" w:after="0"/>
              <w:ind w:right="28"/>
              <w:jc w:val="both"/>
              <w:rPr>
                <w:rFonts w:ascii="Palatino Linotype" w:eastAsia="DengXian" w:hAnsi="Palatino Linotype"/>
                <w:bCs/>
                <w:sz w:val="14"/>
                <w:szCs w:val="20"/>
                <w:lang w:bidi="en-US"/>
              </w:rPr>
            </w:pPr>
            <w:r>
              <w:rPr>
                <w:rFonts w:ascii="Palatino Linotype" w:eastAsia="DengXian" w:hAnsi="Palatino Linotype"/>
                <w:bCs/>
                <w:sz w:val="14"/>
                <w:szCs w:val="20"/>
                <w:lang w:bidi="en-US"/>
              </w:rPr>
              <w:t>Mail :</w:t>
            </w:r>
            <w:hyperlink r:id="rId14" w:history="1">
              <w:r w:rsidRPr="008D0CEC">
                <w:rPr>
                  <w:rStyle w:val="Lienhypertexte"/>
                  <w:rFonts w:ascii="Palatino Linotype" w:eastAsia="DengXian" w:hAnsi="Palatino Linotype"/>
                  <w:bCs/>
                  <w:sz w:val="14"/>
                  <w:szCs w:val="20"/>
                  <w:lang w:bidi="en-US"/>
                </w:rPr>
                <w:t>dr.murhabazijustin1@gmail.com</w:t>
              </w:r>
            </w:hyperlink>
          </w:p>
        </w:tc>
      </w:tr>
      <w:tr w:rsidR="004A473D" w:rsidRPr="0056100F" w:rsidTr="000C2A53">
        <w:tc>
          <w:tcPr>
            <w:tcW w:w="2689" w:type="dxa"/>
            <w:shd w:val="clear" w:color="auto" w:fill="FFFFFF" w:themeFill="background1"/>
          </w:tcPr>
          <w:p w:rsidR="004A473D" w:rsidRPr="0056100F" w:rsidRDefault="004A473D" w:rsidP="000C2A53">
            <w:pPr>
              <w:adjustRightInd w:val="0"/>
              <w:snapToGrid w:val="0"/>
              <w:spacing w:before="60" w:after="0"/>
              <w:ind w:right="113"/>
              <w:rPr>
                <w:rFonts w:ascii="Palatino Linotype" w:eastAsia="DengXian" w:hAnsi="Palatino Linotype"/>
                <w:bCs/>
                <w:sz w:val="14"/>
                <w:szCs w:val="20"/>
                <w:lang w:bidi="en-US"/>
              </w:rPr>
            </w:pPr>
          </w:p>
        </w:tc>
      </w:tr>
    </w:tbl>
    <w:p w:rsidR="00424FC0" w:rsidRPr="00424FC0" w:rsidRDefault="00424FC0" w:rsidP="00424FC0">
      <w:pPr>
        <w:tabs>
          <w:tab w:val="left" w:pos="440"/>
        </w:tabs>
        <w:spacing w:after="0"/>
        <w:ind w:left="-142" w:right="-142"/>
        <w:jc w:val="center"/>
        <w:rPr>
          <w:rFonts w:ascii="Palatino Linotype" w:eastAsia="Times New Roman" w:hAnsi="Palatino Linotype" w:cs="Times New Roman"/>
          <w:szCs w:val="24"/>
          <w:lang w:eastAsia="fr-FR"/>
        </w:rPr>
      </w:pPr>
      <w:r w:rsidRPr="00424FC0">
        <w:rPr>
          <w:rFonts w:ascii="Palatino Linotype" w:eastAsia="Times New Roman" w:hAnsi="Palatino Linotype" w:cs="Times New Roman"/>
          <w:szCs w:val="24"/>
          <w:lang w:eastAsia="fr-FR"/>
        </w:rPr>
        <w:t xml:space="preserve">Justin </w:t>
      </w:r>
      <w:proofErr w:type="spellStart"/>
      <w:r w:rsidRPr="00424FC0">
        <w:rPr>
          <w:rFonts w:ascii="Palatino Linotype" w:eastAsia="Times New Roman" w:hAnsi="Palatino Linotype" w:cs="Times New Roman"/>
          <w:szCs w:val="24"/>
          <w:lang w:eastAsia="fr-FR"/>
        </w:rPr>
        <w:t>Murhabazi</w:t>
      </w:r>
      <w:proofErr w:type="spellEnd"/>
      <w:r w:rsidRPr="00424FC0">
        <w:rPr>
          <w:rFonts w:ascii="Palatino Linotype" w:eastAsia="Times New Roman" w:hAnsi="Palatino Linotype" w:cs="Times New Roman"/>
          <w:szCs w:val="24"/>
          <w:lang w:eastAsia="fr-FR"/>
        </w:rPr>
        <w:t xml:space="preserve"> Ntabiruba</w:t>
      </w:r>
      <w:r w:rsidRPr="00C92841">
        <w:rPr>
          <w:rFonts w:ascii="Palatino Linotype" w:eastAsia="Times New Roman" w:hAnsi="Palatino Linotype" w:cs="Times New Roman"/>
          <w:szCs w:val="24"/>
          <w:vertAlign w:val="superscript"/>
          <w:lang w:eastAsia="fr-FR"/>
        </w:rPr>
        <w:t>1</w:t>
      </w:r>
      <w:r>
        <w:rPr>
          <w:rFonts w:ascii="Palatino Linotype" w:eastAsia="Times New Roman" w:hAnsi="Palatino Linotype" w:cs="Times New Roman"/>
          <w:szCs w:val="24"/>
          <w:lang w:eastAsia="fr-FR"/>
        </w:rPr>
        <w:t xml:space="preserve">, </w:t>
      </w:r>
      <w:r w:rsidRPr="00424FC0">
        <w:rPr>
          <w:rFonts w:ascii="Palatino Linotype" w:eastAsia="Times New Roman" w:hAnsi="Palatino Linotype" w:cs="Times New Roman"/>
          <w:szCs w:val="24"/>
          <w:lang w:eastAsia="fr-FR"/>
        </w:rPr>
        <w:t xml:space="preserve">Célestin </w:t>
      </w:r>
      <w:proofErr w:type="spellStart"/>
      <w:r w:rsidRPr="00424FC0">
        <w:rPr>
          <w:rFonts w:ascii="Palatino Linotype" w:eastAsia="Times New Roman" w:hAnsi="Palatino Linotype" w:cs="Times New Roman"/>
          <w:szCs w:val="24"/>
          <w:lang w:eastAsia="fr-FR"/>
        </w:rPr>
        <w:t>Kimanuka</w:t>
      </w:r>
      <w:proofErr w:type="spellEnd"/>
      <w:r w:rsidRPr="00424FC0">
        <w:rPr>
          <w:rFonts w:ascii="Palatino Linotype" w:eastAsia="Times New Roman" w:hAnsi="Palatino Linotype" w:cs="Times New Roman"/>
          <w:szCs w:val="24"/>
          <w:lang w:eastAsia="fr-FR"/>
        </w:rPr>
        <w:t xml:space="preserve"> Ruriho</w:t>
      </w:r>
      <w:r w:rsidRPr="00C92841">
        <w:rPr>
          <w:rFonts w:ascii="Palatino Linotype" w:eastAsia="Times New Roman" w:hAnsi="Palatino Linotype" w:cs="Times New Roman"/>
          <w:szCs w:val="24"/>
          <w:vertAlign w:val="superscript"/>
          <w:lang w:eastAsia="fr-FR"/>
        </w:rPr>
        <w:t>2</w:t>
      </w:r>
      <w:r>
        <w:rPr>
          <w:rFonts w:ascii="Palatino Linotype" w:eastAsia="Times New Roman" w:hAnsi="Palatino Linotype" w:cs="Times New Roman"/>
          <w:szCs w:val="24"/>
          <w:lang w:eastAsia="fr-FR"/>
        </w:rPr>
        <w:t xml:space="preserve">, </w:t>
      </w:r>
      <w:r w:rsidRPr="00424FC0">
        <w:rPr>
          <w:rFonts w:ascii="Palatino Linotype" w:eastAsia="Times New Roman" w:hAnsi="Palatino Linotype" w:cs="Times New Roman"/>
          <w:szCs w:val="24"/>
          <w:lang w:eastAsia="fr-FR"/>
        </w:rPr>
        <w:t xml:space="preserve">Zacharie </w:t>
      </w:r>
      <w:proofErr w:type="spellStart"/>
      <w:r w:rsidRPr="00424FC0">
        <w:rPr>
          <w:rFonts w:ascii="Palatino Linotype" w:eastAsia="Times New Roman" w:hAnsi="Palatino Linotype" w:cs="Times New Roman"/>
          <w:szCs w:val="24"/>
          <w:lang w:eastAsia="fr-FR"/>
        </w:rPr>
        <w:t>Tsongo</w:t>
      </w:r>
      <w:proofErr w:type="spellEnd"/>
      <w:r w:rsidRPr="00424FC0">
        <w:rPr>
          <w:rFonts w:ascii="Palatino Linotype" w:eastAsia="Times New Roman" w:hAnsi="Palatino Linotype" w:cs="Times New Roman"/>
          <w:szCs w:val="24"/>
          <w:lang w:eastAsia="fr-FR"/>
        </w:rPr>
        <w:t xml:space="preserve"> Kibendelwa</w:t>
      </w:r>
      <w:r w:rsidRPr="00C92841">
        <w:rPr>
          <w:rFonts w:ascii="Palatino Linotype" w:eastAsia="Times New Roman" w:hAnsi="Palatino Linotype" w:cs="Times New Roman"/>
          <w:szCs w:val="24"/>
          <w:vertAlign w:val="superscript"/>
          <w:lang w:eastAsia="fr-FR"/>
        </w:rPr>
        <w:t>3</w:t>
      </w:r>
      <w:r>
        <w:rPr>
          <w:rFonts w:ascii="Palatino Linotype" w:eastAsia="Times New Roman" w:hAnsi="Palatino Linotype" w:cs="Times New Roman"/>
          <w:szCs w:val="24"/>
          <w:lang w:eastAsia="fr-FR"/>
        </w:rPr>
        <w:t xml:space="preserve">, </w:t>
      </w:r>
      <w:proofErr w:type="spellStart"/>
      <w:r w:rsidRPr="00424FC0">
        <w:rPr>
          <w:rFonts w:ascii="Palatino Linotype" w:eastAsia="Times New Roman" w:hAnsi="Palatino Linotype" w:cs="Times New Roman"/>
          <w:szCs w:val="24"/>
          <w:lang w:eastAsia="fr-FR"/>
        </w:rPr>
        <w:t>Amani</w:t>
      </w:r>
      <w:proofErr w:type="spellEnd"/>
      <w:r w:rsidRPr="00424FC0">
        <w:rPr>
          <w:rFonts w:ascii="Palatino Linotype" w:eastAsia="Times New Roman" w:hAnsi="Palatino Linotype" w:cs="Times New Roman"/>
          <w:szCs w:val="24"/>
          <w:lang w:eastAsia="fr-FR"/>
        </w:rPr>
        <w:t xml:space="preserve"> </w:t>
      </w:r>
      <w:proofErr w:type="spellStart"/>
      <w:r w:rsidRPr="00424FC0">
        <w:rPr>
          <w:rFonts w:ascii="Palatino Linotype" w:eastAsia="Times New Roman" w:hAnsi="Palatino Linotype" w:cs="Times New Roman"/>
          <w:szCs w:val="24"/>
          <w:lang w:eastAsia="fr-FR"/>
        </w:rPr>
        <w:t>Kabesha</w:t>
      </w:r>
      <w:proofErr w:type="spellEnd"/>
      <w:r w:rsidRPr="00424FC0">
        <w:rPr>
          <w:rFonts w:ascii="Palatino Linotype" w:eastAsia="Times New Roman" w:hAnsi="Palatino Linotype" w:cs="Times New Roman"/>
          <w:szCs w:val="24"/>
          <w:lang w:eastAsia="fr-FR"/>
        </w:rPr>
        <w:t xml:space="preserve"> Théophile</w:t>
      </w:r>
      <w:r w:rsidRPr="00C92841">
        <w:rPr>
          <w:rFonts w:ascii="Palatino Linotype" w:eastAsia="Times New Roman" w:hAnsi="Palatino Linotype" w:cs="Times New Roman"/>
          <w:szCs w:val="24"/>
          <w:vertAlign w:val="superscript"/>
          <w:lang w:eastAsia="fr-FR"/>
        </w:rPr>
        <w:t>4</w:t>
      </w:r>
      <w:r>
        <w:rPr>
          <w:rFonts w:ascii="Palatino Linotype" w:eastAsia="Times New Roman" w:hAnsi="Palatino Linotype" w:cs="Times New Roman"/>
          <w:szCs w:val="24"/>
          <w:lang w:eastAsia="fr-FR"/>
        </w:rPr>
        <w:t xml:space="preserve">, </w:t>
      </w:r>
      <w:r w:rsidRPr="00424FC0">
        <w:rPr>
          <w:rFonts w:ascii="Palatino Linotype" w:eastAsia="Times New Roman" w:hAnsi="Palatino Linotype" w:cs="Times New Roman"/>
          <w:szCs w:val="24"/>
          <w:lang w:eastAsia="fr-FR"/>
        </w:rPr>
        <w:t>Robert Biya Kinzinkinko</w:t>
      </w:r>
      <w:r w:rsidRPr="00C92841">
        <w:rPr>
          <w:rFonts w:ascii="Palatino Linotype" w:eastAsia="Times New Roman" w:hAnsi="Palatino Linotype" w:cs="Times New Roman"/>
          <w:szCs w:val="24"/>
          <w:vertAlign w:val="superscript"/>
          <w:lang w:eastAsia="fr-FR"/>
        </w:rPr>
        <w:t>5</w:t>
      </w:r>
      <w:r>
        <w:rPr>
          <w:rFonts w:ascii="Palatino Linotype" w:eastAsia="Times New Roman" w:hAnsi="Palatino Linotype" w:cs="Times New Roman"/>
          <w:szCs w:val="24"/>
          <w:lang w:eastAsia="fr-FR"/>
        </w:rPr>
        <w:t xml:space="preserve">, </w:t>
      </w:r>
      <w:r w:rsidRPr="00424FC0">
        <w:rPr>
          <w:rFonts w:ascii="Palatino Linotype" w:eastAsia="Times New Roman" w:hAnsi="Palatino Linotype" w:cs="Times New Roman"/>
          <w:szCs w:val="24"/>
          <w:lang w:eastAsia="fr-FR"/>
        </w:rPr>
        <w:t xml:space="preserve">John </w:t>
      </w:r>
      <w:proofErr w:type="spellStart"/>
      <w:r w:rsidRPr="00424FC0">
        <w:rPr>
          <w:rFonts w:ascii="Palatino Linotype" w:eastAsia="Times New Roman" w:hAnsi="Palatino Linotype" w:cs="Times New Roman"/>
          <w:szCs w:val="24"/>
          <w:lang w:eastAsia="fr-FR"/>
        </w:rPr>
        <w:t>Inipavudu</w:t>
      </w:r>
      <w:proofErr w:type="spellEnd"/>
      <w:r w:rsidRPr="00424FC0">
        <w:rPr>
          <w:rFonts w:ascii="Palatino Linotype" w:eastAsia="Times New Roman" w:hAnsi="Palatino Linotype" w:cs="Times New Roman"/>
          <w:szCs w:val="24"/>
          <w:lang w:eastAsia="fr-FR"/>
        </w:rPr>
        <w:t xml:space="preserve"> Baelani</w:t>
      </w:r>
      <w:r w:rsidRPr="00C92841">
        <w:rPr>
          <w:rFonts w:ascii="Palatino Linotype" w:eastAsia="Times New Roman" w:hAnsi="Palatino Linotype" w:cs="Times New Roman"/>
          <w:szCs w:val="24"/>
          <w:vertAlign w:val="superscript"/>
          <w:lang w:eastAsia="fr-FR"/>
        </w:rPr>
        <w:t>6</w:t>
      </w:r>
      <w:r w:rsidR="00C92841">
        <w:rPr>
          <w:rFonts w:ascii="Palatino Linotype" w:eastAsia="Times New Roman" w:hAnsi="Palatino Linotype" w:cs="Times New Roman"/>
          <w:szCs w:val="24"/>
          <w:lang w:eastAsia="fr-FR"/>
        </w:rPr>
        <w:t xml:space="preserve">, </w:t>
      </w:r>
      <w:r w:rsidRPr="00424FC0">
        <w:rPr>
          <w:rFonts w:ascii="Palatino Linotype" w:eastAsia="Times New Roman" w:hAnsi="Palatino Linotype" w:cs="Times New Roman"/>
          <w:szCs w:val="24"/>
          <w:lang w:eastAsia="fr-FR"/>
        </w:rPr>
        <w:t xml:space="preserve">Thierry </w:t>
      </w:r>
      <w:proofErr w:type="spellStart"/>
      <w:r w:rsidRPr="00424FC0">
        <w:rPr>
          <w:rFonts w:ascii="Palatino Linotype" w:eastAsia="Times New Roman" w:hAnsi="Palatino Linotype" w:cs="Times New Roman"/>
          <w:szCs w:val="24"/>
          <w:lang w:eastAsia="fr-FR"/>
        </w:rPr>
        <w:t>Muhemedi</w:t>
      </w:r>
      <w:proofErr w:type="spellEnd"/>
      <w:r w:rsidRPr="00424FC0">
        <w:rPr>
          <w:rFonts w:ascii="Palatino Linotype" w:eastAsia="Times New Roman" w:hAnsi="Palatino Linotype" w:cs="Times New Roman"/>
          <w:szCs w:val="24"/>
          <w:lang w:eastAsia="fr-FR"/>
        </w:rPr>
        <w:t xml:space="preserve"> Mbuyi</w:t>
      </w:r>
      <w:r w:rsidR="00C92841" w:rsidRPr="00C92841">
        <w:rPr>
          <w:rFonts w:ascii="Palatino Linotype" w:eastAsia="Times New Roman" w:hAnsi="Palatino Linotype" w:cs="Times New Roman"/>
          <w:szCs w:val="24"/>
          <w:vertAlign w:val="superscript"/>
          <w:lang w:eastAsia="fr-FR"/>
        </w:rPr>
        <w:t>6</w:t>
      </w:r>
      <w:r w:rsidR="00C92841">
        <w:rPr>
          <w:rFonts w:ascii="Palatino Linotype" w:eastAsia="Times New Roman" w:hAnsi="Palatino Linotype" w:cs="Times New Roman"/>
          <w:szCs w:val="24"/>
          <w:lang w:eastAsia="fr-FR"/>
        </w:rPr>
        <w:t xml:space="preserve">, </w:t>
      </w:r>
      <w:r w:rsidRPr="00424FC0">
        <w:rPr>
          <w:rFonts w:ascii="Palatino Linotype" w:eastAsia="Times New Roman" w:hAnsi="Palatino Linotype" w:cs="Times New Roman"/>
          <w:szCs w:val="24"/>
          <w:lang w:eastAsia="fr-FR"/>
        </w:rPr>
        <w:t xml:space="preserve">Zita </w:t>
      </w:r>
      <w:proofErr w:type="spellStart"/>
      <w:r w:rsidRPr="00424FC0">
        <w:rPr>
          <w:rFonts w:ascii="Palatino Linotype" w:eastAsia="Times New Roman" w:hAnsi="Palatino Linotype" w:cs="Times New Roman"/>
          <w:szCs w:val="24"/>
          <w:lang w:eastAsia="fr-FR"/>
        </w:rPr>
        <w:t>Masika</w:t>
      </w:r>
      <w:proofErr w:type="spellEnd"/>
      <w:r w:rsidRPr="00424FC0">
        <w:rPr>
          <w:rFonts w:ascii="Palatino Linotype" w:eastAsia="Times New Roman" w:hAnsi="Palatino Linotype" w:cs="Times New Roman"/>
          <w:szCs w:val="24"/>
          <w:lang w:eastAsia="fr-FR"/>
        </w:rPr>
        <w:t xml:space="preserve"> Mumbere</w:t>
      </w:r>
      <w:r w:rsidR="00C92841" w:rsidRPr="00C92841">
        <w:rPr>
          <w:rFonts w:ascii="Palatino Linotype" w:eastAsia="Times New Roman" w:hAnsi="Palatino Linotype" w:cs="Times New Roman"/>
          <w:szCs w:val="24"/>
          <w:vertAlign w:val="superscript"/>
          <w:lang w:eastAsia="fr-FR"/>
        </w:rPr>
        <w:t>7</w:t>
      </w:r>
      <w:r w:rsidR="00C92841">
        <w:rPr>
          <w:rFonts w:ascii="Palatino Linotype" w:eastAsia="Times New Roman" w:hAnsi="Palatino Linotype" w:cs="Times New Roman"/>
          <w:szCs w:val="24"/>
          <w:lang w:eastAsia="fr-FR"/>
        </w:rPr>
        <w:t xml:space="preserve">, </w:t>
      </w:r>
      <w:r w:rsidRPr="00424FC0">
        <w:rPr>
          <w:rFonts w:ascii="Palatino Linotype" w:eastAsia="Times New Roman" w:hAnsi="Palatino Linotype" w:cs="Times New Roman"/>
          <w:szCs w:val="24"/>
          <w:lang w:eastAsia="fr-FR"/>
        </w:rPr>
        <w:t xml:space="preserve">Léon </w:t>
      </w:r>
      <w:proofErr w:type="spellStart"/>
      <w:r w:rsidRPr="00424FC0">
        <w:rPr>
          <w:rFonts w:ascii="Palatino Linotype" w:eastAsia="Times New Roman" w:hAnsi="Palatino Linotype" w:cs="Times New Roman"/>
          <w:szCs w:val="24"/>
          <w:lang w:eastAsia="fr-FR"/>
        </w:rPr>
        <w:t>Barigereka</w:t>
      </w:r>
      <w:proofErr w:type="spellEnd"/>
      <w:r w:rsidRPr="00424FC0">
        <w:rPr>
          <w:rFonts w:ascii="Palatino Linotype" w:eastAsia="Times New Roman" w:hAnsi="Palatino Linotype" w:cs="Times New Roman"/>
          <w:szCs w:val="24"/>
          <w:lang w:eastAsia="fr-FR"/>
        </w:rPr>
        <w:t xml:space="preserve"> Nsengiyumva</w:t>
      </w:r>
      <w:r w:rsidR="00C92841" w:rsidRPr="00C92841">
        <w:rPr>
          <w:rFonts w:ascii="Palatino Linotype" w:eastAsia="Times New Roman" w:hAnsi="Palatino Linotype" w:cs="Times New Roman"/>
          <w:szCs w:val="24"/>
          <w:vertAlign w:val="superscript"/>
          <w:lang w:eastAsia="fr-FR"/>
        </w:rPr>
        <w:t>8</w:t>
      </w:r>
      <w:r w:rsidRPr="00424FC0">
        <w:rPr>
          <w:rFonts w:ascii="Palatino Linotype" w:eastAsia="Times New Roman" w:hAnsi="Palatino Linotype" w:cs="Times New Roman"/>
          <w:szCs w:val="24"/>
          <w:lang w:eastAsia="fr-FR"/>
        </w:rPr>
        <w:t xml:space="preserve">, Prince </w:t>
      </w:r>
      <w:proofErr w:type="spellStart"/>
      <w:r w:rsidRPr="00424FC0">
        <w:rPr>
          <w:rFonts w:ascii="Palatino Linotype" w:eastAsia="Times New Roman" w:hAnsi="Palatino Linotype" w:cs="Times New Roman"/>
          <w:szCs w:val="24"/>
          <w:lang w:eastAsia="fr-FR"/>
        </w:rPr>
        <w:t>Imani</w:t>
      </w:r>
      <w:proofErr w:type="spellEnd"/>
      <w:r w:rsidRPr="00424FC0">
        <w:rPr>
          <w:rFonts w:ascii="Palatino Linotype" w:eastAsia="Times New Roman" w:hAnsi="Palatino Linotype" w:cs="Times New Roman"/>
          <w:szCs w:val="24"/>
          <w:lang w:eastAsia="fr-FR"/>
        </w:rPr>
        <w:t xml:space="preserve"> Musimwa</w:t>
      </w:r>
      <w:r w:rsidR="00C92841" w:rsidRPr="00C92841">
        <w:rPr>
          <w:rFonts w:ascii="Palatino Linotype" w:eastAsia="Times New Roman" w:hAnsi="Palatino Linotype" w:cs="Times New Roman"/>
          <w:szCs w:val="24"/>
          <w:vertAlign w:val="superscript"/>
          <w:lang w:eastAsia="fr-FR"/>
        </w:rPr>
        <w:t>1</w:t>
      </w:r>
      <w:r w:rsidR="00C92841">
        <w:rPr>
          <w:rFonts w:ascii="Palatino Linotype" w:eastAsia="Times New Roman" w:hAnsi="Palatino Linotype" w:cs="Times New Roman"/>
          <w:szCs w:val="24"/>
          <w:lang w:eastAsia="fr-FR"/>
        </w:rPr>
        <w:t xml:space="preserve">, </w:t>
      </w:r>
      <w:proofErr w:type="spellStart"/>
      <w:r w:rsidRPr="00424FC0">
        <w:rPr>
          <w:rFonts w:ascii="Palatino Linotype" w:eastAsia="Times New Roman" w:hAnsi="Palatino Linotype" w:cs="Times New Roman"/>
          <w:szCs w:val="24"/>
          <w:lang w:eastAsia="fr-FR"/>
        </w:rPr>
        <w:t>Arsene</w:t>
      </w:r>
      <w:proofErr w:type="spellEnd"/>
      <w:r w:rsidRPr="00424FC0">
        <w:rPr>
          <w:rFonts w:ascii="Palatino Linotype" w:eastAsia="Times New Roman" w:hAnsi="Palatino Linotype" w:cs="Times New Roman"/>
          <w:szCs w:val="24"/>
          <w:lang w:eastAsia="fr-FR"/>
        </w:rPr>
        <w:t xml:space="preserve"> </w:t>
      </w:r>
      <w:proofErr w:type="spellStart"/>
      <w:r w:rsidRPr="00424FC0">
        <w:rPr>
          <w:rFonts w:ascii="Palatino Linotype" w:eastAsia="Times New Roman" w:hAnsi="Palatino Linotype" w:cs="Times New Roman"/>
          <w:szCs w:val="24"/>
          <w:lang w:eastAsia="fr-FR"/>
        </w:rPr>
        <w:t>Murhambo</w:t>
      </w:r>
      <w:proofErr w:type="spellEnd"/>
      <w:r w:rsidRPr="00424FC0">
        <w:rPr>
          <w:rFonts w:ascii="Palatino Linotype" w:eastAsia="Times New Roman" w:hAnsi="Palatino Linotype" w:cs="Times New Roman"/>
          <w:szCs w:val="24"/>
          <w:lang w:eastAsia="fr-FR"/>
        </w:rPr>
        <w:t xml:space="preserve"> Ntabiruba</w:t>
      </w:r>
      <w:r w:rsidR="00C92841" w:rsidRPr="00C92841">
        <w:rPr>
          <w:rFonts w:ascii="Palatino Linotype" w:eastAsia="Times New Roman" w:hAnsi="Palatino Linotype" w:cs="Times New Roman"/>
          <w:szCs w:val="24"/>
          <w:vertAlign w:val="superscript"/>
          <w:lang w:eastAsia="fr-FR"/>
        </w:rPr>
        <w:t>6</w:t>
      </w:r>
      <w:r w:rsidR="00C92841">
        <w:rPr>
          <w:rFonts w:ascii="Palatino Linotype" w:eastAsia="Times New Roman" w:hAnsi="Palatino Linotype" w:cs="Times New Roman"/>
          <w:szCs w:val="24"/>
          <w:lang w:eastAsia="fr-FR"/>
        </w:rPr>
        <w:t xml:space="preserve">, </w:t>
      </w:r>
      <w:proofErr w:type="spellStart"/>
      <w:r w:rsidR="004A473D">
        <w:rPr>
          <w:rFonts w:ascii="Palatino Linotype" w:eastAsia="Times New Roman" w:hAnsi="Palatino Linotype" w:cs="Times New Roman"/>
          <w:szCs w:val="24"/>
          <w:lang w:eastAsia="fr-FR"/>
        </w:rPr>
        <w:t>Stanis</w:t>
      </w:r>
      <w:proofErr w:type="spellEnd"/>
      <w:r w:rsidR="004A473D">
        <w:rPr>
          <w:rFonts w:ascii="Palatino Linotype" w:eastAsia="Times New Roman" w:hAnsi="Palatino Linotype" w:cs="Times New Roman"/>
          <w:szCs w:val="24"/>
          <w:lang w:eastAsia="fr-FR"/>
        </w:rPr>
        <w:t xml:space="preserve"> </w:t>
      </w:r>
      <w:proofErr w:type="spellStart"/>
      <w:r w:rsidR="004A473D">
        <w:rPr>
          <w:rFonts w:ascii="Palatino Linotype" w:eastAsia="Times New Roman" w:hAnsi="Palatino Linotype" w:cs="Times New Roman"/>
          <w:szCs w:val="24"/>
          <w:lang w:eastAsia="fr-FR"/>
        </w:rPr>
        <w:t>Wembonyama</w:t>
      </w:r>
      <w:proofErr w:type="spellEnd"/>
      <w:r w:rsidR="004A473D">
        <w:rPr>
          <w:rFonts w:ascii="Palatino Linotype" w:eastAsia="Times New Roman" w:hAnsi="Palatino Linotype" w:cs="Times New Roman"/>
          <w:szCs w:val="24"/>
          <w:lang w:eastAsia="fr-FR"/>
        </w:rPr>
        <w:t xml:space="preserve"> O</w:t>
      </w:r>
      <w:r w:rsidRPr="00424FC0">
        <w:rPr>
          <w:rFonts w:ascii="Palatino Linotype" w:eastAsia="Times New Roman" w:hAnsi="Palatino Linotype" w:cs="Times New Roman"/>
          <w:szCs w:val="24"/>
          <w:lang w:eastAsia="fr-FR"/>
        </w:rPr>
        <w:t>kitosho</w:t>
      </w:r>
      <w:r w:rsidR="00C92841">
        <w:rPr>
          <w:rFonts w:ascii="Palatino Linotype" w:eastAsia="Times New Roman" w:hAnsi="Palatino Linotype" w:cs="Times New Roman"/>
          <w:szCs w:val="24"/>
          <w:vertAlign w:val="superscript"/>
          <w:lang w:eastAsia="fr-FR"/>
        </w:rPr>
        <w:t>9</w:t>
      </w:r>
    </w:p>
    <w:p w:rsidR="00B108D9" w:rsidRPr="00167FAD" w:rsidRDefault="00B108D9" w:rsidP="000C2A53">
      <w:pPr>
        <w:spacing w:before="100" w:beforeAutospacing="1" w:after="0" w:line="240" w:lineRule="auto"/>
        <w:ind w:right="-284"/>
        <w:rPr>
          <w:rFonts w:ascii="Palatino Linotype" w:hAnsi="Palatino Linotype" w:cs="Times New Roman"/>
          <w:color w:val="000000" w:themeColor="text1"/>
          <w:szCs w:val="24"/>
        </w:rPr>
      </w:pPr>
    </w:p>
    <w:p w:rsid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 xml:space="preserve">École de Santé Publique, Université de Goma, </w:t>
      </w:r>
      <w:r>
        <w:rPr>
          <w:rFonts w:ascii="Palatino Linotype" w:eastAsia="Times New Roman" w:hAnsi="Palatino Linotype" w:cs="Arial"/>
          <w:position w:val="6"/>
          <w:sz w:val="18"/>
          <w:szCs w:val="20"/>
          <w:lang w:val="fr-CD" w:eastAsia="fr-FR"/>
        </w:rPr>
        <w:t>RD Congo</w:t>
      </w:r>
    </w:p>
    <w:p w:rsid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Ins</w:t>
      </w:r>
      <w:r>
        <w:rPr>
          <w:rFonts w:ascii="Palatino Linotype" w:eastAsia="Times New Roman" w:hAnsi="Palatino Linotype" w:cs="Arial"/>
          <w:position w:val="6"/>
          <w:sz w:val="18"/>
          <w:szCs w:val="20"/>
          <w:lang w:val="fr-CD" w:eastAsia="fr-FR"/>
        </w:rPr>
        <w:t>titut National de Statistiques, Goma, Nord-Kivu, RD Congo</w:t>
      </w:r>
    </w:p>
    <w:p w:rsid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Université de Kisangani, Kisanga</w:t>
      </w:r>
      <w:r w:rsidR="00FE2BF0">
        <w:rPr>
          <w:rFonts w:ascii="Palatino Linotype" w:eastAsia="Times New Roman" w:hAnsi="Palatino Linotype" w:cs="Arial"/>
          <w:position w:val="6"/>
          <w:sz w:val="18"/>
          <w:szCs w:val="20"/>
          <w:lang w:val="fr-CD" w:eastAsia="fr-FR"/>
        </w:rPr>
        <w:t>ni, RD Congo</w:t>
      </w:r>
    </w:p>
    <w:p w:rsid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 xml:space="preserve">Université Officielle de </w:t>
      </w:r>
      <w:r>
        <w:rPr>
          <w:rFonts w:ascii="Palatino Linotype" w:eastAsia="Times New Roman" w:hAnsi="Palatino Linotype" w:cs="Arial"/>
          <w:position w:val="6"/>
          <w:sz w:val="18"/>
          <w:szCs w:val="20"/>
          <w:lang w:val="fr-CD" w:eastAsia="fr-FR"/>
        </w:rPr>
        <w:t>Bukavu (UOB), Bukavu, RD Congo</w:t>
      </w:r>
    </w:p>
    <w:p w:rsid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Institut Supérieur des Techniques Méd</w:t>
      </w:r>
      <w:r>
        <w:rPr>
          <w:rFonts w:ascii="Palatino Linotype" w:eastAsia="Times New Roman" w:hAnsi="Palatino Linotype" w:cs="Arial"/>
          <w:position w:val="6"/>
          <w:sz w:val="18"/>
          <w:szCs w:val="20"/>
          <w:lang w:val="fr-CD" w:eastAsia="fr-FR"/>
        </w:rPr>
        <w:t>icales de Goma, Goma, RD Congo</w:t>
      </w:r>
    </w:p>
    <w:p w:rsid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Uni</w:t>
      </w:r>
      <w:r w:rsidR="00FE2BF0">
        <w:rPr>
          <w:rFonts w:ascii="Palatino Linotype" w:eastAsia="Times New Roman" w:hAnsi="Palatino Linotype" w:cs="Arial"/>
          <w:position w:val="6"/>
          <w:sz w:val="18"/>
          <w:szCs w:val="20"/>
          <w:lang w:val="fr-CD" w:eastAsia="fr-FR"/>
        </w:rPr>
        <w:t>versité de Goma, Goma, RD Congo</w:t>
      </w:r>
    </w:p>
    <w:p w:rsidR="00424FC0" w:rsidRPr="00C92841"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C92841">
        <w:rPr>
          <w:rFonts w:ascii="Palatino Linotype" w:eastAsia="Times New Roman" w:hAnsi="Palatino Linotype" w:cs="Arial"/>
          <w:position w:val="6"/>
          <w:sz w:val="18"/>
          <w:szCs w:val="20"/>
          <w:lang w:val="fr-CD" w:eastAsia="fr-FR"/>
        </w:rPr>
        <w:t>Conseil d’administration de la Mutuelle Notre Vie, Nord-Kivu, RD Congo</w:t>
      </w:r>
    </w:p>
    <w:p w:rsid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Institut Supérieur des Techniques Médicales de</w:t>
      </w:r>
      <w:r>
        <w:rPr>
          <w:rFonts w:ascii="Palatino Linotype" w:eastAsia="Times New Roman" w:hAnsi="Palatino Linotype" w:cs="Arial"/>
          <w:position w:val="6"/>
          <w:sz w:val="18"/>
          <w:szCs w:val="20"/>
          <w:lang w:val="fr-CD" w:eastAsia="fr-FR"/>
        </w:rPr>
        <w:t xml:space="preserve"> </w:t>
      </w:r>
      <w:proofErr w:type="spellStart"/>
      <w:r>
        <w:rPr>
          <w:rFonts w:ascii="Palatino Linotype" w:eastAsia="Times New Roman" w:hAnsi="Palatino Linotype" w:cs="Arial"/>
          <w:position w:val="6"/>
          <w:sz w:val="18"/>
          <w:szCs w:val="20"/>
          <w:lang w:val="fr-CD" w:eastAsia="fr-FR"/>
        </w:rPr>
        <w:t>Rutshuru</w:t>
      </w:r>
      <w:proofErr w:type="spellEnd"/>
      <w:r>
        <w:rPr>
          <w:rFonts w:ascii="Palatino Linotype" w:eastAsia="Times New Roman" w:hAnsi="Palatino Linotype" w:cs="Arial"/>
          <w:position w:val="6"/>
          <w:sz w:val="18"/>
          <w:szCs w:val="20"/>
          <w:lang w:val="fr-CD" w:eastAsia="fr-FR"/>
        </w:rPr>
        <w:t xml:space="preserve">, </w:t>
      </w:r>
      <w:proofErr w:type="spellStart"/>
      <w:r>
        <w:rPr>
          <w:rFonts w:ascii="Palatino Linotype" w:eastAsia="Times New Roman" w:hAnsi="Palatino Linotype" w:cs="Arial"/>
          <w:position w:val="6"/>
          <w:sz w:val="18"/>
          <w:szCs w:val="20"/>
          <w:lang w:val="fr-CD" w:eastAsia="fr-FR"/>
        </w:rPr>
        <w:t>Rutshur</w:t>
      </w:r>
      <w:r w:rsidR="00FE2BF0">
        <w:rPr>
          <w:rFonts w:ascii="Palatino Linotype" w:eastAsia="Times New Roman" w:hAnsi="Palatino Linotype" w:cs="Arial"/>
          <w:position w:val="6"/>
          <w:sz w:val="18"/>
          <w:szCs w:val="20"/>
          <w:lang w:val="fr-CD" w:eastAsia="fr-FR"/>
        </w:rPr>
        <w:t>u</w:t>
      </w:r>
      <w:proofErr w:type="spellEnd"/>
      <w:r w:rsidR="00FE2BF0">
        <w:rPr>
          <w:rFonts w:ascii="Palatino Linotype" w:eastAsia="Times New Roman" w:hAnsi="Palatino Linotype" w:cs="Arial"/>
          <w:position w:val="6"/>
          <w:sz w:val="18"/>
          <w:szCs w:val="20"/>
          <w:lang w:val="fr-CD" w:eastAsia="fr-FR"/>
        </w:rPr>
        <w:t>, RD Congo</w:t>
      </w:r>
    </w:p>
    <w:p w:rsidR="00424FC0" w:rsidRPr="00424FC0" w:rsidRDefault="00424FC0" w:rsidP="003D74BD">
      <w:pPr>
        <w:pStyle w:val="Paragraphedeliste"/>
        <w:numPr>
          <w:ilvl w:val="0"/>
          <w:numId w:val="1"/>
        </w:numPr>
        <w:spacing w:after="0" w:line="240" w:lineRule="auto"/>
        <w:ind w:left="3261"/>
        <w:jc w:val="both"/>
        <w:rPr>
          <w:rFonts w:ascii="Palatino Linotype" w:eastAsia="Times New Roman" w:hAnsi="Palatino Linotype" w:cs="Arial"/>
          <w:position w:val="6"/>
          <w:sz w:val="18"/>
          <w:szCs w:val="20"/>
          <w:lang w:val="fr-CD" w:eastAsia="fr-FR"/>
        </w:rPr>
      </w:pPr>
      <w:r w:rsidRPr="00424FC0">
        <w:rPr>
          <w:rFonts w:ascii="Palatino Linotype" w:eastAsia="Times New Roman" w:hAnsi="Palatino Linotype" w:cs="Arial"/>
          <w:position w:val="6"/>
          <w:sz w:val="18"/>
          <w:szCs w:val="20"/>
          <w:lang w:val="fr-CD" w:eastAsia="fr-FR"/>
        </w:rPr>
        <w:t>Université de Lubumbashi, Lubumbashi, RD Congo.</w:t>
      </w:r>
    </w:p>
    <w:p w:rsidR="00C47371" w:rsidRPr="00424FC0" w:rsidRDefault="00C47371" w:rsidP="00C47371">
      <w:pPr>
        <w:spacing w:after="0" w:line="240" w:lineRule="auto"/>
        <w:ind w:left="2901"/>
        <w:jc w:val="both"/>
        <w:rPr>
          <w:rFonts w:ascii="Palatino Linotype" w:hAnsi="Palatino Linotype" w:cs="Arial"/>
          <w:b/>
          <w:sz w:val="20"/>
          <w:szCs w:val="24"/>
          <w:lang w:val="fr-CD"/>
        </w:rPr>
      </w:pPr>
    </w:p>
    <w:p w:rsidR="00C0262E" w:rsidRPr="00C47371" w:rsidRDefault="009E3D55" w:rsidP="00C47371">
      <w:pPr>
        <w:spacing w:after="0" w:line="240" w:lineRule="auto"/>
        <w:ind w:left="2977"/>
        <w:jc w:val="both"/>
        <w:rPr>
          <w:rFonts w:ascii="Palatino Linotype" w:hAnsi="Palatino Linotype" w:cs="Times New Roman"/>
          <w:b/>
          <w:bCs/>
          <w:sz w:val="20"/>
          <w:szCs w:val="20"/>
          <w:lang w:val="fr-BE"/>
        </w:rPr>
      </w:pPr>
      <w:r w:rsidRPr="00C47371">
        <w:rPr>
          <w:rFonts w:ascii="Palatino Linotype" w:hAnsi="Palatino Linotype" w:cs="Arial"/>
          <w:b/>
          <w:sz w:val="20"/>
          <w:szCs w:val="24"/>
        </w:rPr>
        <w:t>Résumé</w:t>
      </w:r>
    </w:p>
    <w:p w:rsidR="004A473D" w:rsidRPr="004A473D" w:rsidRDefault="004A473D" w:rsidP="004A473D">
      <w:pPr>
        <w:spacing w:after="0" w:line="240" w:lineRule="auto"/>
        <w:ind w:left="2977"/>
        <w:jc w:val="both"/>
        <w:rPr>
          <w:rFonts w:ascii="Palatino Linotype" w:hAnsi="Palatino Linotype" w:cs="Times New Roman"/>
          <w:sz w:val="20"/>
          <w:szCs w:val="20"/>
        </w:rPr>
      </w:pPr>
      <w:r w:rsidRPr="004A473D">
        <w:rPr>
          <w:rFonts w:ascii="Palatino Linotype" w:hAnsi="Palatino Linotype" w:cs="Times New Roman"/>
          <w:sz w:val="20"/>
          <w:szCs w:val="20"/>
        </w:rPr>
        <w:t>Introduction : En Afrique, les mutuelles de santé, bien que récentes, connaissent un développement rapide mais demeurent fragiles. Cette étude, réalisée en avril 2024 à Goma, a pour objectif d’évaluer la viabilité de quatre mutuelles de santé afin d’orienter leur gestion sur la base de données probantes.</w:t>
      </w:r>
    </w:p>
    <w:p w:rsidR="004A473D" w:rsidRPr="004A473D" w:rsidRDefault="004A473D" w:rsidP="004A473D">
      <w:pPr>
        <w:spacing w:after="0" w:line="240" w:lineRule="auto"/>
        <w:ind w:left="2977"/>
        <w:jc w:val="both"/>
        <w:rPr>
          <w:rFonts w:ascii="Palatino Linotype" w:hAnsi="Palatino Linotype" w:cs="Times New Roman"/>
          <w:sz w:val="20"/>
          <w:szCs w:val="20"/>
        </w:rPr>
      </w:pPr>
      <w:r w:rsidRPr="004A473D">
        <w:rPr>
          <w:rFonts w:ascii="Palatino Linotype" w:hAnsi="Palatino Linotype" w:cs="Times New Roman"/>
          <w:sz w:val="20"/>
          <w:szCs w:val="20"/>
        </w:rPr>
        <w:t>Matériel et Méthodes : Il s’agit d’une étude transversale descriptive à visée évaluative, reposant sur un échantillonnage exhaustif. Les données ont été analysées à l’aide du logiciel SPSS. Les variables quantitatives ont été résumées en moyennes, fréquences et proportions. Les comparaisons de proportions ont été réalisées à l’aide du test du chi carré de Pearson.</w:t>
      </w:r>
    </w:p>
    <w:p w:rsidR="004A473D" w:rsidRPr="004A473D" w:rsidRDefault="004A473D" w:rsidP="004A473D">
      <w:pPr>
        <w:spacing w:after="0" w:line="240" w:lineRule="auto"/>
        <w:ind w:left="2977"/>
        <w:jc w:val="both"/>
        <w:rPr>
          <w:rFonts w:ascii="Palatino Linotype" w:hAnsi="Palatino Linotype" w:cs="Times New Roman"/>
          <w:sz w:val="20"/>
          <w:szCs w:val="20"/>
        </w:rPr>
      </w:pPr>
      <w:r w:rsidRPr="004A473D">
        <w:rPr>
          <w:rFonts w:ascii="Palatino Linotype" w:hAnsi="Palatino Linotype" w:cs="Times New Roman"/>
          <w:sz w:val="20"/>
          <w:szCs w:val="20"/>
        </w:rPr>
        <w:t>Résultats : L’étude révèle de nombreuses insuffisances. Sur le plan institutionnel, la viabilité globale est de 68,5 %, inférieure au seuil de 90 %, avec une seule mutuelle atteignant 94,2 %. L’affiliation à une association de mutuelles reste très faible (0,25), et l’aspect administratif atteint seulement 56,57 %, avec une structure viable à 81,2 %. Le suivi du portefeuille de risques est limité (moyenne de 0,37). La viabilité technique est de 56,57 %, avec des lacunes dans le suivi et l’analyse des coûts des prestations. La viabilité fonctionnelle est de 66,65 %, malgré un taux de pénétration nul. Enfin, la viabilité financière est la plus faible, avec une moyenne de 41,62 %, en raison de frais de fonctionnement élevés.</w:t>
      </w:r>
    </w:p>
    <w:p w:rsidR="004A473D" w:rsidRPr="004A473D" w:rsidRDefault="004A473D" w:rsidP="004A473D">
      <w:pPr>
        <w:spacing w:after="0" w:line="240" w:lineRule="auto"/>
        <w:ind w:left="2977"/>
        <w:jc w:val="both"/>
        <w:rPr>
          <w:rFonts w:ascii="Palatino Linotype" w:hAnsi="Palatino Linotype" w:cs="Times New Roman"/>
          <w:sz w:val="20"/>
          <w:szCs w:val="20"/>
        </w:rPr>
      </w:pPr>
      <w:r w:rsidRPr="004A473D">
        <w:rPr>
          <w:rFonts w:ascii="Palatino Linotype" w:hAnsi="Palatino Linotype" w:cs="Times New Roman"/>
          <w:sz w:val="20"/>
          <w:szCs w:val="20"/>
        </w:rPr>
        <w:t>Conclusion : Les mutuelles étudiées présentent des faiblesses majeures compromettant leur viabilité et leur efficacité. Un renforcement urgent de leur gestion est nécessaire.</w:t>
      </w:r>
    </w:p>
    <w:p w:rsidR="004A473D" w:rsidRPr="004A473D" w:rsidRDefault="004A473D" w:rsidP="004A473D">
      <w:pPr>
        <w:spacing w:after="0" w:line="240" w:lineRule="auto"/>
        <w:ind w:left="2977"/>
        <w:jc w:val="both"/>
        <w:rPr>
          <w:rFonts w:ascii="Palatino Linotype" w:hAnsi="Palatino Linotype" w:cs="Times New Roman"/>
          <w:sz w:val="20"/>
          <w:szCs w:val="20"/>
        </w:rPr>
      </w:pPr>
      <w:r w:rsidRPr="004A473D">
        <w:rPr>
          <w:rFonts w:ascii="Palatino Linotype" w:hAnsi="Palatino Linotype" w:cs="Times New Roman"/>
          <w:sz w:val="20"/>
          <w:szCs w:val="20"/>
        </w:rPr>
        <w:t>Mots-clés : mutuelle de santé, viabilité, Goma, République démocratique du Congo.</w:t>
      </w:r>
    </w:p>
    <w:p w:rsidR="000A437D" w:rsidRPr="004A473D" w:rsidRDefault="000A437D" w:rsidP="00EF4039">
      <w:pPr>
        <w:spacing w:after="0"/>
        <w:jc w:val="both"/>
        <w:rPr>
          <w:rFonts w:ascii="Palatino Linotype" w:hAnsi="Palatino Linotype" w:cs="Times New Roman"/>
          <w:sz w:val="20"/>
          <w:szCs w:val="20"/>
          <w:lang w:val="fr-CD"/>
        </w:rPr>
      </w:pPr>
    </w:p>
    <w:p w:rsidR="004A473D" w:rsidRPr="00B728C3" w:rsidRDefault="004A473D">
      <w:pPr>
        <w:spacing w:after="160" w:line="259" w:lineRule="auto"/>
        <w:rPr>
          <w:rFonts w:ascii="Palatino Linotype" w:hAnsi="Palatino Linotype" w:cs="Times New Roman"/>
          <w:b/>
          <w:sz w:val="20"/>
          <w:szCs w:val="20"/>
        </w:rPr>
      </w:pPr>
      <w:r w:rsidRPr="00B728C3">
        <w:rPr>
          <w:rFonts w:ascii="Palatino Linotype" w:hAnsi="Palatino Linotype" w:cs="Times New Roman"/>
          <w:b/>
          <w:sz w:val="20"/>
          <w:szCs w:val="20"/>
        </w:rPr>
        <w:br w:type="page"/>
      </w:r>
    </w:p>
    <w:p w:rsidR="00536684" w:rsidRPr="00EF4039" w:rsidRDefault="00536684" w:rsidP="000A437D">
      <w:pPr>
        <w:spacing w:after="0"/>
        <w:ind w:left="2977"/>
        <w:jc w:val="both"/>
        <w:rPr>
          <w:rFonts w:ascii="Palatino Linotype" w:hAnsi="Palatino Linotype" w:cs="Times New Roman"/>
          <w:b/>
          <w:sz w:val="20"/>
          <w:szCs w:val="20"/>
          <w:lang w:val="en-US"/>
        </w:rPr>
      </w:pPr>
      <w:r w:rsidRPr="00EF4039">
        <w:rPr>
          <w:rFonts w:ascii="Palatino Linotype" w:hAnsi="Palatino Linotype" w:cs="Times New Roman"/>
          <w:b/>
          <w:sz w:val="20"/>
          <w:szCs w:val="20"/>
          <w:lang w:val="en-US"/>
        </w:rPr>
        <w:lastRenderedPageBreak/>
        <w:t xml:space="preserve">Abstract </w:t>
      </w:r>
    </w:p>
    <w:p w:rsidR="004A473D" w:rsidRPr="00B728C3" w:rsidRDefault="004A473D" w:rsidP="004A473D">
      <w:pPr>
        <w:spacing w:after="0" w:line="240" w:lineRule="auto"/>
        <w:ind w:left="2977"/>
        <w:jc w:val="both"/>
        <w:rPr>
          <w:rFonts w:ascii="Palatino Linotype" w:hAnsi="Palatino Linotype" w:cs="Times New Roman"/>
          <w:sz w:val="20"/>
          <w:szCs w:val="20"/>
          <w:lang w:val="en-US"/>
        </w:rPr>
      </w:pPr>
      <w:r w:rsidRPr="00B728C3">
        <w:rPr>
          <w:rFonts w:ascii="Palatino Linotype" w:hAnsi="Palatino Linotype" w:cs="Times New Roman"/>
          <w:sz w:val="20"/>
          <w:szCs w:val="20"/>
          <w:lang w:val="en-US"/>
        </w:rPr>
        <w:t xml:space="preserve">Introduction: In Africa, health </w:t>
      </w:r>
      <w:proofErr w:type="spellStart"/>
      <w:r w:rsidRPr="00B728C3">
        <w:rPr>
          <w:rFonts w:ascii="Palatino Linotype" w:hAnsi="Palatino Linotype" w:cs="Times New Roman"/>
          <w:sz w:val="20"/>
          <w:szCs w:val="20"/>
          <w:lang w:val="en-US"/>
        </w:rPr>
        <w:t>mutuals</w:t>
      </w:r>
      <w:proofErr w:type="spellEnd"/>
      <w:r w:rsidRPr="00B728C3">
        <w:rPr>
          <w:rFonts w:ascii="Palatino Linotype" w:hAnsi="Palatino Linotype" w:cs="Times New Roman"/>
          <w:sz w:val="20"/>
          <w:szCs w:val="20"/>
          <w:lang w:val="en-US"/>
        </w:rPr>
        <w:t xml:space="preserve">, although relatively recent, are experiencing rapid growth but remain fragile. This study, conducted in April 2024 in Goma, aims to assess the viability of four health </w:t>
      </w:r>
      <w:proofErr w:type="spellStart"/>
      <w:r w:rsidRPr="00B728C3">
        <w:rPr>
          <w:rFonts w:ascii="Palatino Linotype" w:hAnsi="Palatino Linotype" w:cs="Times New Roman"/>
          <w:sz w:val="20"/>
          <w:szCs w:val="20"/>
          <w:lang w:val="en-US"/>
        </w:rPr>
        <w:t>mutuals</w:t>
      </w:r>
      <w:proofErr w:type="spellEnd"/>
      <w:r w:rsidRPr="00B728C3">
        <w:rPr>
          <w:rFonts w:ascii="Palatino Linotype" w:hAnsi="Palatino Linotype" w:cs="Times New Roman"/>
          <w:sz w:val="20"/>
          <w:szCs w:val="20"/>
          <w:lang w:val="en-US"/>
        </w:rPr>
        <w:t xml:space="preserve"> to guide their management based on evidence.</w:t>
      </w:r>
    </w:p>
    <w:p w:rsidR="004A473D" w:rsidRPr="00B728C3" w:rsidRDefault="004A473D" w:rsidP="004A473D">
      <w:pPr>
        <w:spacing w:after="0" w:line="240" w:lineRule="auto"/>
        <w:ind w:left="2977"/>
        <w:jc w:val="both"/>
        <w:rPr>
          <w:rFonts w:ascii="Palatino Linotype" w:hAnsi="Palatino Linotype" w:cs="Times New Roman"/>
          <w:sz w:val="20"/>
          <w:szCs w:val="20"/>
          <w:lang w:val="en-US"/>
        </w:rPr>
      </w:pPr>
      <w:r w:rsidRPr="00B728C3">
        <w:rPr>
          <w:rFonts w:ascii="Palatino Linotype" w:hAnsi="Palatino Linotype" w:cs="Times New Roman"/>
          <w:sz w:val="20"/>
          <w:szCs w:val="20"/>
          <w:lang w:val="en-US"/>
        </w:rPr>
        <w:t>Materials and Methods: This is a cross-sectional, descriptive, and evaluative study based on exhaustive sampling. Data were analyzed using SPSS software. Quantitative variables were summarized using means, frequencies, and proportions. Proportion comparisons were performed using Pearson’s chi-square test.</w:t>
      </w:r>
    </w:p>
    <w:p w:rsidR="004A473D" w:rsidRPr="00B728C3" w:rsidRDefault="004A473D" w:rsidP="004A473D">
      <w:pPr>
        <w:spacing w:after="0" w:line="240" w:lineRule="auto"/>
        <w:ind w:left="2977"/>
        <w:jc w:val="both"/>
        <w:rPr>
          <w:rFonts w:ascii="Palatino Linotype" w:hAnsi="Palatino Linotype" w:cs="Times New Roman"/>
          <w:sz w:val="20"/>
          <w:szCs w:val="20"/>
          <w:lang w:val="en-US"/>
        </w:rPr>
      </w:pPr>
      <w:r w:rsidRPr="00B728C3">
        <w:rPr>
          <w:rFonts w:ascii="Palatino Linotype" w:hAnsi="Palatino Linotype" w:cs="Times New Roman"/>
          <w:sz w:val="20"/>
          <w:szCs w:val="20"/>
          <w:lang w:val="en-US"/>
        </w:rPr>
        <w:t xml:space="preserve">Results: The study reveals numerous shortcomings. Institutionally, overall viability stands at 68.5%, below the 90% threshold, with only one mutual reaching 94.2%. Affiliation with a </w:t>
      </w:r>
      <w:proofErr w:type="spellStart"/>
      <w:r w:rsidRPr="00B728C3">
        <w:rPr>
          <w:rFonts w:ascii="Palatino Linotype" w:hAnsi="Palatino Linotype" w:cs="Times New Roman"/>
          <w:sz w:val="20"/>
          <w:szCs w:val="20"/>
          <w:lang w:val="en-US"/>
        </w:rPr>
        <w:t>mutuals</w:t>
      </w:r>
      <w:proofErr w:type="spellEnd"/>
      <w:r w:rsidRPr="00B728C3">
        <w:rPr>
          <w:rFonts w:ascii="Palatino Linotype" w:hAnsi="Palatino Linotype" w:cs="Times New Roman"/>
          <w:sz w:val="20"/>
          <w:szCs w:val="20"/>
          <w:lang w:val="en-US"/>
        </w:rPr>
        <w:t>' association is very low (0.25), and the administrative component scores only 56.57%, with one structure deemed viable (81.2%). Risk portfolio monitoring is limited, with an average score of 0.37. Technical viability is 56.57%, with gaps in tracking and analyzing service costs. Functional viability reaches 66.65%, despite a zero penetration rate. Financial viability is the lowest, with an average of 41.62%, mainly due to high operating costs.</w:t>
      </w:r>
    </w:p>
    <w:p w:rsidR="004A473D" w:rsidRPr="00B728C3" w:rsidRDefault="004A473D" w:rsidP="004A473D">
      <w:pPr>
        <w:spacing w:after="0" w:line="240" w:lineRule="auto"/>
        <w:ind w:left="2977"/>
        <w:jc w:val="both"/>
        <w:rPr>
          <w:rFonts w:ascii="Palatino Linotype" w:hAnsi="Palatino Linotype" w:cs="Times New Roman"/>
          <w:sz w:val="20"/>
          <w:szCs w:val="20"/>
          <w:lang w:val="en-US"/>
        </w:rPr>
      </w:pPr>
      <w:r w:rsidRPr="00B728C3">
        <w:rPr>
          <w:rFonts w:ascii="Palatino Linotype" w:hAnsi="Palatino Linotype" w:cs="Times New Roman"/>
          <w:sz w:val="20"/>
          <w:szCs w:val="20"/>
          <w:lang w:val="en-US"/>
        </w:rPr>
        <w:t xml:space="preserve">Conclusion: The </w:t>
      </w:r>
      <w:proofErr w:type="spellStart"/>
      <w:r w:rsidRPr="00B728C3">
        <w:rPr>
          <w:rFonts w:ascii="Palatino Linotype" w:hAnsi="Palatino Linotype" w:cs="Times New Roman"/>
          <w:sz w:val="20"/>
          <w:szCs w:val="20"/>
          <w:lang w:val="en-US"/>
        </w:rPr>
        <w:t>mutuals</w:t>
      </w:r>
      <w:proofErr w:type="spellEnd"/>
      <w:r w:rsidRPr="00B728C3">
        <w:rPr>
          <w:rFonts w:ascii="Palatino Linotype" w:hAnsi="Palatino Linotype" w:cs="Times New Roman"/>
          <w:sz w:val="20"/>
          <w:szCs w:val="20"/>
          <w:lang w:val="en-US"/>
        </w:rPr>
        <w:t xml:space="preserve"> studied exhibit major weaknesses that threaten their viability and effectiveness. An urgent strengthening of their management is necessary.</w:t>
      </w:r>
    </w:p>
    <w:p w:rsidR="004A473D" w:rsidRDefault="004A473D" w:rsidP="00624426">
      <w:pPr>
        <w:spacing w:after="0" w:line="240" w:lineRule="auto"/>
        <w:ind w:left="2977"/>
        <w:jc w:val="both"/>
        <w:rPr>
          <w:rFonts w:ascii="Palatino Linotype" w:hAnsi="Palatino Linotype" w:cs="Times New Roman"/>
          <w:sz w:val="20"/>
          <w:szCs w:val="20"/>
          <w:lang w:val="en-US"/>
        </w:rPr>
      </w:pPr>
      <w:r w:rsidRPr="00B728C3">
        <w:rPr>
          <w:rFonts w:ascii="Palatino Linotype" w:hAnsi="Palatino Linotype" w:cs="Times New Roman"/>
          <w:sz w:val="20"/>
          <w:szCs w:val="20"/>
          <w:lang w:val="en-US"/>
        </w:rPr>
        <w:t>Keywords: health mutual, viability, Goma, Democratic Republic of the Congo.</w:t>
      </w:r>
    </w:p>
    <w:p w:rsidR="00282040" w:rsidRPr="00B728C3" w:rsidRDefault="00282040" w:rsidP="00282040">
      <w:pPr>
        <w:pBdr>
          <w:bottom w:val="single" w:sz="4" w:space="1" w:color="auto"/>
        </w:pBdr>
        <w:spacing w:after="0" w:line="240" w:lineRule="auto"/>
        <w:ind w:left="-142"/>
        <w:jc w:val="both"/>
        <w:rPr>
          <w:rFonts w:ascii="Palatino Linotype" w:hAnsi="Palatino Linotype" w:cs="Times New Roman"/>
          <w:sz w:val="20"/>
          <w:szCs w:val="20"/>
          <w:lang w:val="en-US"/>
        </w:rPr>
      </w:pPr>
    </w:p>
    <w:p w:rsidR="00E001B4" w:rsidRPr="004A473D" w:rsidRDefault="00E001B4" w:rsidP="004A473D">
      <w:pPr>
        <w:spacing w:after="0" w:line="240" w:lineRule="auto"/>
        <w:ind w:left="2977"/>
        <w:jc w:val="both"/>
        <w:rPr>
          <w:rFonts w:ascii="Palatino Linotype" w:hAnsi="Palatino Linotype" w:cs="Times New Roman"/>
          <w:sz w:val="20"/>
          <w:szCs w:val="20"/>
          <w:lang w:val="en-US"/>
        </w:rPr>
        <w:sectPr w:rsidR="00E001B4" w:rsidRPr="004A473D" w:rsidSect="00B171F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276" w:right="566" w:bottom="851" w:left="709" w:header="705" w:footer="546" w:gutter="0"/>
          <w:pgNumType w:start="1"/>
          <w:cols w:space="425"/>
          <w:titlePg/>
          <w:docGrid w:linePitch="360"/>
        </w:sectPr>
      </w:pPr>
    </w:p>
    <w:p w:rsidR="00745BB2" w:rsidRDefault="009C43C6" w:rsidP="00282040">
      <w:pPr>
        <w:spacing w:before="240" w:after="0"/>
        <w:jc w:val="both"/>
        <w:rPr>
          <w:rFonts w:ascii="Palatino Linotype" w:hAnsi="Palatino Linotype" w:cs="Times New Roman"/>
          <w:b/>
          <w:sz w:val="20"/>
          <w:szCs w:val="20"/>
        </w:rPr>
      </w:pPr>
      <w:r>
        <w:rPr>
          <w:rFonts w:ascii="Palatino Linotype" w:hAnsi="Palatino Linotype" w:cs="Times New Roman"/>
          <w:b/>
          <w:sz w:val="20"/>
          <w:szCs w:val="20"/>
        </w:rPr>
        <w:lastRenderedPageBreak/>
        <w:t>Introduction</w:t>
      </w:r>
    </w:p>
    <w:p w:rsidR="002A6EAA" w:rsidRDefault="002A6EAA" w:rsidP="00282040">
      <w:pPr>
        <w:pBdr>
          <w:top w:val="single" w:sz="4" w:space="1" w:color="auto"/>
        </w:pBdr>
        <w:spacing w:after="0"/>
        <w:jc w:val="both"/>
        <w:rPr>
          <w:rFonts w:ascii="Palatino Linotype" w:hAnsi="Palatino Linotype" w:cs="Times New Roman"/>
          <w:sz w:val="20"/>
          <w:szCs w:val="20"/>
        </w:rPr>
        <w:sectPr w:rsidR="002A6EAA" w:rsidSect="009011E4">
          <w:type w:val="continuous"/>
          <w:pgSz w:w="11906" w:h="16838"/>
          <w:pgMar w:top="1417" w:right="707" w:bottom="1276" w:left="567" w:header="708" w:footer="708" w:gutter="0"/>
          <w:cols w:num="2" w:space="142"/>
          <w:docGrid w:linePitch="360"/>
        </w:sectPr>
      </w:pP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lastRenderedPageBreak/>
        <w:t xml:space="preserve">La viabilité d'une mutuelle de santé se définit comme la capacité de cette organisation à maintenir une gestion financière solide, à offrir des services de qualité à ses membres et à assurer sa pérennité sur le long terme. Cela implique des aspects tels que la solvabilité, la gestion des risques, la satisfaction des membres, ainsi que l'efficacité administrative et opérationnelle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{"citationItems":[{"id":"ITEM-1","itemData":{"ISBN":"9222138724","author":[{"dropping-particle":"","family":"Mutuelles","given":"D E S","non-dropping-particle":"","parse-names":false,"suffix":""}],"id":"ITEM-1","issued":{"date-parts":[["0"]]},"title":"GUIDE DE GESTION","type":"book"},"uris":["http://www.mendeley.com/documents/?uuid=f1567b31-8a53-4f37-91b5-f6b6135959da"]}],"mendeley":{"formattedCitation":"[1]","plainTextFormattedCitation":"[1]","previouslyFormattedCitation":"[1]"},"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À l’échelle mondiale, en 2017, un demi-milliard de personnes sont tombées dans l’extrême pauvreté ou y ont été acculées davantage qu’elles ne l’étaient auparavant, et 2,2 fois plus encore sont tombées dans la pauvreté relative. Dans toutes les catégories de revenu, les pauvres confrontés à des dépenses directes en santé, aussi faibles soient-elles, représentaient entre 83 % et 89 % des personnes encourant des dépenses appauvrissantes en santé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{"citationItems":[{"id":"ITEM-1","itemData":{"DOI":"10.1596/40348","ISBN":"9789240080379","abstract":"Bringing universal health coverage (UHC) into focus: One of the main challenges faced in supporting UHC-oriented reform is the perception on the part of some decision-makers that UHC is too diffuse a concept, and UHC-related progress unquantifiable. This first global monitoring report on tracking UHC is produced partly to challenge that notion. Most countries are already generating credible, comparable data on both health service and financial protection coverage, despite data blind spots on key public health concerns such as noncommunicable diseases (NCDs) and health service quality. Broadly defined, UHC means all people receiving the quality health services they need, without being exposed to financial hardship. UHC involves three coverage dimensions – health services, finance, and population – and is a dynamic, continuous process that changes in response to shifting demographic, epidemiological and technological trends, as well as people’s expectations.","container-title":"Tracking Universal Health Coverage: 2023 Global Monitoring Report","id":"ITEM-1","issued":{"date-parts":[["2023"]]},"title":"Tracking Universal Health Coverage: 2023 Global Monitoring Report","type":"book"},"uris":["http://www.mendeley.com/documents/?uuid=61d1e120-999f-4e41-831c-5d10a8b2260b"]}],"mendeley":{"formattedCitation":"[2]","plainTextFormattedCitation":"[2]","previouslyFormattedCitation":"[2]"},"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w:t>
      </w:r>
      <w:r w:rsidR="009011E4">
        <w:rPr>
          <w:rFonts w:ascii="Palatino Linotype" w:hAnsi="Palatino Linotype" w:cs="Times New Roman"/>
          <w:sz w:val="20"/>
          <w:szCs w:val="20"/>
        </w:rPr>
        <w:t xml:space="preserve"> </w:t>
      </w:r>
      <w:r w:rsidRPr="00B616DD">
        <w:rPr>
          <w:rFonts w:ascii="Palatino Linotype" w:hAnsi="Palatino Linotype" w:cs="Times New Roman"/>
          <w:sz w:val="20"/>
          <w:szCs w:val="20"/>
        </w:rPr>
        <w:t xml:space="preserve">Face à ces défis, des systèmes de </w:t>
      </w:r>
      <w:proofErr w:type="spellStart"/>
      <w:r w:rsidRPr="00B616DD">
        <w:rPr>
          <w:rFonts w:ascii="Palatino Linotype" w:hAnsi="Palatino Linotype" w:cs="Times New Roman"/>
          <w:sz w:val="20"/>
          <w:szCs w:val="20"/>
        </w:rPr>
        <w:t>microassurance</w:t>
      </w:r>
      <w:proofErr w:type="spellEnd"/>
      <w:r w:rsidRPr="00B616DD">
        <w:rPr>
          <w:rFonts w:ascii="Palatino Linotype" w:hAnsi="Palatino Linotype" w:cs="Times New Roman"/>
          <w:sz w:val="20"/>
          <w:szCs w:val="20"/>
        </w:rPr>
        <w:t xml:space="preserve"> santé ont progressivement émergé en Afrique subsaharienne au cours des deux dernières décennies, ciblant particulièrement le secteur informel</w:t>
      </w:r>
      <w:r w:rsidRPr="00B616DD">
        <w:rPr>
          <w:rFonts w:cs="Times New Roman"/>
          <w:sz w:val="20"/>
          <w:szCs w:val="20"/>
        </w:rPr>
        <w:t> </w:t>
      </w:r>
      <w:r w:rsidRPr="00B616DD">
        <w:rPr>
          <w:rFonts w:ascii="Palatino Linotype" w:hAnsi="Palatino Linotype" w:cs="Times New Roman"/>
          <w:sz w:val="20"/>
          <w:szCs w:val="20"/>
        </w:rPr>
        <w:t>; n</w:t>
      </w:r>
      <w:r w:rsidRPr="00B616DD">
        <w:rPr>
          <w:rFonts w:ascii="Palatino Linotype" w:hAnsi="Palatino Linotype" w:cs="Palatino Linotype"/>
          <w:sz w:val="20"/>
          <w:szCs w:val="20"/>
        </w:rPr>
        <w:t>é</w:t>
      </w:r>
      <w:r w:rsidRPr="00B616DD">
        <w:rPr>
          <w:rFonts w:ascii="Palatino Linotype" w:hAnsi="Palatino Linotype" w:cs="Times New Roman"/>
          <w:sz w:val="20"/>
          <w:szCs w:val="20"/>
        </w:rPr>
        <w:t>anmoins, la couverture demeure limit</w:t>
      </w:r>
      <w:r w:rsidRPr="00B616DD">
        <w:rPr>
          <w:rFonts w:ascii="Palatino Linotype" w:hAnsi="Palatino Linotype" w:cs="Palatino Linotype"/>
          <w:sz w:val="20"/>
          <w:szCs w:val="20"/>
        </w:rPr>
        <w:t>é</w:t>
      </w:r>
      <w:r w:rsidRPr="00B616DD">
        <w:rPr>
          <w:rFonts w:ascii="Palatino Linotype" w:hAnsi="Palatino Linotype" w:cs="Times New Roman"/>
          <w:sz w:val="20"/>
          <w:szCs w:val="20"/>
        </w:rPr>
        <w:t>e : une enqu</w:t>
      </w:r>
      <w:r w:rsidRPr="00B616DD">
        <w:rPr>
          <w:rFonts w:ascii="Palatino Linotype" w:hAnsi="Palatino Linotype" w:cs="Palatino Linotype"/>
          <w:sz w:val="20"/>
          <w:szCs w:val="20"/>
        </w:rPr>
        <w:t>ê</w:t>
      </w:r>
      <w:r w:rsidRPr="00B616DD">
        <w:rPr>
          <w:rFonts w:ascii="Palatino Linotype" w:hAnsi="Palatino Linotype" w:cs="Times New Roman"/>
          <w:sz w:val="20"/>
          <w:szCs w:val="20"/>
        </w:rPr>
        <w:t>te men</w:t>
      </w:r>
      <w:r w:rsidRPr="00B616DD">
        <w:rPr>
          <w:rFonts w:ascii="Palatino Linotype" w:hAnsi="Palatino Linotype" w:cs="Palatino Linotype"/>
          <w:sz w:val="20"/>
          <w:szCs w:val="20"/>
        </w:rPr>
        <w:t>é</w:t>
      </w:r>
      <w:r w:rsidRPr="00B616DD">
        <w:rPr>
          <w:rFonts w:ascii="Palatino Linotype" w:hAnsi="Palatino Linotype" w:cs="Times New Roman"/>
          <w:sz w:val="20"/>
          <w:szCs w:val="20"/>
        </w:rPr>
        <w:t>e en 2009 dans 32 pays africains estimait que seulement 2,6</w:t>
      </w:r>
      <w:r w:rsidRPr="00B616DD">
        <w:rPr>
          <w:rFonts w:cs="Times New Roman"/>
          <w:sz w:val="20"/>
          <w:szCs w:val="20"/>
        </w:rPr>
        <w:t> </w:t>
      </w:r>
      <w:r w:rsidRPr="00B616DD">
        <w:rPr>
          <w:rFonts w:ascii="Palatino Linotype" w:hAnsi="Palatino Linotype" w:cs="Times New Roman"/>
          <w:sz w:val="20"/>
          <w:szCs w:val="20"/>
        </w:rPr>
        <w:t>% des personnes vivant avec moins de 2</w:t>
      </w:r>
      <w:r w:rsidRPr="00B616DD">
        <w:rPr>
          <w:rFonts w:cs="Times New Roman"/>
          <w:sz w:val="20"/>
          <w:szCs w:val="20"/>
        </w:rPr>
        <w:t> </w:t>
      </w:r>
      <w:r w:rsidRPr="00B616DD">
        <w:rPr>
          <w:rFonts w:ascii="Palatino Linotype" w:hAnsi="Palatino Linotype" w:cs="Times New Roman"/>
          <w:sz w:val="20"/>
          <w:szCs w:val="20"/>
        </w:rPr>
        <w:t>USD par jour b</w:t>
      </w:r>
      <w:r w:rsidRPr="00B616DD">
        <w:rPr>
          <w:rFonts w:ascii="Palatino Linotype" w:hAnsi="Palatino Linotype" w:cs="Palatino Linotype"/>
          <w:sz w:val="20"/>
          <w:szCs w:val="20"/>
        </w:rPr>
        <w:t>é</w:t>
      </w:r>
      <w:r w:rsidRPr="00B616DD">
        <w:rPr>
          <w:rFonts w:ascii="Palatino Linotype" w:hAnsi="Palatino Linotype" w:cs="Times New Roman"/>
          <w:sz w:val="20"/>
          <w:szCs w:val="20"/>
        </w:rPr>
        <w:t>n</w:t>
      </w:r>
      <w:r w:rsidRPr="00B616DD">
        <w:rPr>
          <w:rFonts w:ascii="Palatino Linotype" w:hAnsi="Palatino Linotype" w:cs="Palatino Linotype"/>
          <w:sz w:val="20"/>
          <w:szCs w:val="20"/>
        </w:rPr>
        <w:t>é</w:t>
      </w:r>
      <w:r w:rsidRPr="00B616DD">
        <w:rPr>
          <w:rFonts w:ascii="Palatino Linotype" w:hAnsi="Palatino Linotype" w:cs="Times New Roman"/>
          <w:sz w:val="20"/>
          <w:szCs w:val="20"/>
        </w:rPr>
        <w:t>ficiaient d</w:t>
      </w:r>
      <w:r w:rsidRPr="00B616DD">
        <w:rPr>
          <w:rFonts w:ascii="Palatino Linotype" w:hAnsi="Palatino Linotype" w:cs="Palatino Linotype"/>
          <w:sz w:val="20"/>
          <w:szCs w:val="20"/>
        </w:rPr>
        <w:t>’</w:t>
      </w:r>
      <w:r w:rsidRPr="00B616DD">
        <w:rPr>
          <w:rFonts w:ascii="Palatino Linotype" w:hAnsi="Palatino Linotype" w:cs="Times New Roman"/>
          <w:sz w:val="20"/>
          <w:szCs w:val="20"/>
        </w:rPr>
        <w:t xml:space="preserve">un produit de </w:t>
      </w:r>
      <w:proofErr w:type="spellStart"/>
      <w:r w:rsidRPr="00B616DD">
        <w:rPr>
          <w:rFonts w:ascii="Palatino Linotype" w:hAnsi="Palatino Linotype" w:cs="Times New Roman"/>
          <w:sz w:val="20"/>
          <w:szCs w:val="20"/>
        </w:rPr>
        <w:t>microassurance</w:t>
      </w:r>
      <w:proofErr w:type="spellEnd"/>
      <w:r w:rsidRPr="00B616DD">
        <w:rPr>
          <w:rFonts w:ascii="Palatino Linotype" w:hAnsi="Palatino Linotype" w:cs="Times New Roman"/>
          <w:sz w:val="20"/>
          <w:szCs w:val="20"/>
        </w:rPr>
        <w:t xml:space="preserv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Yarumba","given":"Tumaini","non-dropping-particle":"","parse-names":false,"suffix":""},{"dropping-particle":"","family":"Kazungu","given":"Isaac","non-dropping-particle":"","parse-names":false,"suffix":""}],"id":"ITEM-1","issue":"December 2014","issued":{"date-parts":[["2016"]]},"title":"Micro Insurance : A Positive Intervention to Household Income and Poverty Reduction ? Experience from Marangu Tanzania Micro Insurance : A Positive Intervention to Household Income and Poverty Reduction ? Experience from Marangu Tanzania","type":"article-journal"},"uris":["http://www.mendeley.com/documents/?uuid=aca42dac-81ac-4100-9977-c6de20a6a0ed"]}],"mendeley":{"formattedCitation":"[3]","plainTextFormattedCitation":"[3]","previouslyFormattedCitation":"[3]"},"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[3]</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Toutefois, ces mutuelles sont de création récente en Afrique et, bien qu’elles fassent l’objet d’un développement rapide, elles restent fragiles. Les compétences en matière de gestion, de suivi et d’évaluation, notamment, sont encore rares et doivent être développées afin de consolider cette dynamique mutualiste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{"citationItems":[{"id":"ITEM-1","itemData":{"ISBN":"1932126899","abstract":"Quelles sont les causes du faible taux dadhésion aux mutuelles de santé en Afrique sub- saharienne Telle est la question centrale de létude que nous présentons dans cette monographie. Dans un premier temps nous évaluons ce que la littérature scientifique apprend sur ce sujet. Puis, nous proposons un agenda de recherche pour approfondir la question. Une revue des études disponibles permet didentifier une liste de facteurs qui influencent ladhésion aux systèmes de micro-assurance santé. Les principaux facteurs sont la qualité des soins de santé, la confiance des habitants dans la réussite de lentreprise et la capacité financière des communautés. Mais une lecture attentive de ces études, de travaux de synthèse et de documents conceptuels qui traitent de la micro- assurance santé, montre que le cadre sous jacent est fortement influencé par les aspects techniques et financiers au dépens des aspects humains et du contexte structurel et socioculturel dans lequel ces systèmes opèrent. Lobservation et la documentation des initiatives existantes devraient faire appel à un nouveau cadre danalyse qui tienne compte du contexte, de la dynamique sociale et des interactions humaines dans lorganisation et la gestion de tels systèmes. Lagenda de recherche que nous proposons repose sur lhypothèse suivante : pour améliorer la performance des systèmes de micro-assurance santé et ladhésion des populations concernées, le défi nest pas de développer un modèle idéal, mais de concevoir des systèmes sur mesure, adaptés à chaque situation. Une approche multi-disciplinaire est nécessaire pour concevoir un cadre danalyse qui ne tienne pas seulement compte des aspects techniques et financiers, mais aussi des dimensions sociales et associatives, ainsi que de linsertion des systèmes dans lorganisation des systèmes de santé et dans un environnement social, culturel, économique et institutionnel donné The main subject of the study that is at the origin of this discussion paper is the quest of the causes of the low subscription rates to Mutual Health Organisations in sub-Saharan Africa. We first present a critical analysis of what the scientific literature tells us about this topic before proposing an agenda for further research. Several studies that investigate the possible causes of the low coverage rates of Mutual Health Organisations suggest a variety of factors influencing enrolment. The most important ones seem to be the quality of health care services, the confidence people have in…","author":[{"dropping-particle":"","family":"Waelkens","given":"Maria-pia","non-dropping-particle":"","parse-names":false,"suffix":""},{"dropping-particle":"","family":"Mars","given":"Bart Criel","non-dropping-particle":"","parse-names":false,"suffix":""}],"id":"ITEM-1","issue":"January 2004","issued":{"date-parts":[["2004"]]},"title":"Les Mutuelles de Santé en Afrique Sub- Saharienne État des Lieux et Réflexions sur un Agenda de Recherche","type":"book"},"uris":["http://www.mendeley.com/documents/?uuid=5a013af9-12a4-4673-b205-a0dca36428b3"]}],"mendeley":{"formattedCitation":"[4]","plainTextFormattedCitation":"[4]","previouslyFormattedCitation":"[4]"},"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[4]</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9011E4">
        <w:rPr>
          <w:rFonts w:ascii="Palatino Linotype" w:hAnsi="Palatino Linotype" w:cs="Times New Roman"/>
          <w:sz w:val="20"/>
          <w:szCs w:val="20"/>
        </w:rPr>
        <w:t xml:space="preserve"> </w:t>
      </w:r>
      <w:r w:rsidRPr="00B616DD">
        <w:rPr>
          <w:rFonts w:ascii="Palatino Linotype" w:hAnsi="Palatino Linotype" w:cs="Times New Roman"/>
          <w:sz w:val="20"/>
          <w:szCs w:val="20"/>
        </w:rPr>
        <w:t xml:space="preserve">À l’instar des autres pays africains, en RDC, les études réalisées par le CNS en 2020 ont observé que les </w:t>
      </w:r>
      <w:r w:rsidRPr="00B616DD">
        <w:rPr>
          <w:rFonts w:ascii="Palatino Linotype" w:hAnsi="Palatino Linotype" w:cs="Times New Roman"/>
          <w:sz w:val="20"/>
          <w:szCs w:val="20"/>
        </w:rPr>
        <w:lastRenderedPageBreak/>
        <w:t>ménages continuent à payer directement les soins de santé à hauteur de 40 % de la dépense courante de santé (DCS). En rapport avec leur propre dépense, le paiement direct des soins de santé par les ménages s’élève à 91</w:t>
      </w:r>
      <w:r w:rsidRPr="00B616DD">
        <w:rPr>
          <w:rFonts w:cs="Times New Roman"/>
          <w:sz w:val="20"/>
          <w:szCs w:val="20"/>
        </w:rPr>
        <w:t> </w:t>
      </w:r>
      <w:r w:rsidRPr="00B616DD">
        <w:rPr>
          <w:rFonts w:ascii="Palatino Linotype" w:hAnsi="Palatino Linotype" w:cs="Times New Roman"/>
          <w:sz w:val="20"/>
          <w:szCs w:val="20"/>
        </w:rPr>
        <w:t>%, le pr</w:t>
      </w:r>
      <w:r w:rsidRPr="00B616DD">
        <w:rPr>
          <w:rFonts w:ascii="Palatino Linotype" w:hAnsi="Palatino Linotype" w:cs="Palatino Linotype"/>
          <w:sz w:val="20"/>
          <w:szCs w:val="20"/>
        </w:rPr>
        <w:t>é</w:t>
      </w:r>
      <w:r w:rsidRPr="00B616DD">
        <w:rPr>
          <w:rFonts w:ascii="Palatino Linotype" w:hAnsi="Palatino Linotype" w:cs="Times New Roman"/>
          <w:sz w:val="20"/>
          <w:szCs w:val="20"/>
        </w:rPr>
        <w:t>paiement volontaire par les individus repr</w:t>
      </w:r>
      <w:r w:rsidRPr="00B616DD">
        <w:rPr>
          <w:rFonts w:ascii="Palatino Linotype" w:hAnsi="Palatino Linotype" w:cs="Palatino Linotype"/>
          <w:sz w:val="20"/>
          <w:szCs w:val="20"/>
        </w:rPr>
        <w:t>é</w:t>
      </w:r>
      <w:r w:rsidRPr="00B616DD">
        <w:rPr>
          <w:rFonts w:ascii="Palatino Linotype" w:hAnsi="Palatino Linotype" w:cs="Times New Roman"/>
          <w:sz w:val="20"/>
          <w:szCs w:val="20"/>
        </w:rPr>
        <w:t>sente 8</w:t>
      </w:r>
      <w:r w:rsidRPr="00B616DD">
        <w:rPr>
          <w:rFonts w:cs="Times New Roman"/>
          <w:sz w:val="20"/>
          <w:szCs w:val="20"/>
        </w:rPr>
        <w:t> </w:t>
      </w:r>
      <w:r w:rsidRPr="00B616DD">
        <w:rPr>
          <w:rFonts w:ascii="Palatino Linotype" w:hAnsi="Palatino Linotype" w:cs="Times New Roman"/>
          <w:sz w:val="20"/>
          <w:szCs w:val="20"/>
        </w:rPr>
        <w:t>% et l</w:t>
      </w:r>
      <w:r w:rsidRPr="00B616DD">
        <w:rPr>
          <w:rFonts w:ascii="Palatino Linotype" w:hAnsi="Palatino Linotype" w:cs="Palatino Linotype"/>
          <w:sz w:val="20"/>
          <w:szCs w:val="20"/>
        </w:rPr>
        <w:t>’</w:t>
      </w:r>
      <w:r w:rsidRPr="00B616DD">
        <w:rPr>
          <w:rFonts w:ascii="Palatino Linotype" w:hAnsi="Palatino Linotype" w:cs="Times New Roman"/>
          <w:sz w:val="20"/>
          <w:szCs w:val="20"/>
        </w:rPr>
        <w:t>assurance sociale, provenant des employ</w:t>
      </w:r>
      <w:r w:rsidRPr="00B616DD">
        <w:rPr>
          <w:rFonts w:ascii="Palatino Linotype" w:hAnsi="Palatino Linotype" w:cs="Palatino Linotype"/>
          <w:sz w:val="20"/>
          <w:szCs w:val="20"/>
        </w:rPr>
        <w:t>é</w:t>
      </w:r>
      <w:r w:rsidRPr="00B616DD">
        <w:rPr>
          <w:rFonts w:ascii="Palatino Linotype" w:hAnsi="Palatino Linotype" w:cs="Times New Roman"/>
          <w:sz w:val="20"/>
          <w:szCs w:val="20"/>
        </w:rPr>
        <w:t>s, 1</w:t>
      </w:r>
      <w:r w:rsidRPr="00B616DD">
        <w:rPr>
          <w:rFonts w:cs="Times New Roman"/>
          <w:sz w:val="20"/>
          <w:szCs w:val="20"/>
        </w:rPr>
        <w:t> </w:t>
      </w:r>
      <w:r w:rsidRPr="00B616DD">
        <w:rPr>
          <w:rFonts w:ascii="Palatino Linotype" w:hAnsi="Palatino Linotype" w:cs="Times New Roman"/>
          <w:sz w:val="20"/>
          <w:szCs w:val="20"/>
        </w:rPr>
        <w:t xml:space="preserv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National","given":"Programme","non-dropping-particle":"","parse-names":false,"suffix":""},{"dropping-particle":"","family":"Nationaux","given":"Comptes","non-dropping-particle":"","parse-names":false,"suffix":""}],"id":"ITEM-1","issued":{"date-parts":[["2023"]]},"title":"RAPPORT SUR LES COMPTES DE LA SANTE 2021","type":"article-journal"},"uris":["http://www.mendeley.com/documents/?uuid=0e350714-ea40-46f9-ac56-b25049c17d81"]}],"mendeley":{"formattedCitation":"[5]","plainTextFormattedCitation":"[5]","previouslyFormattedCitation":"[5]"},"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[5]</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Selon l’Enquête Démographique et de Santé (EDS III) de février</w:t>
      </w:r>
      <w:r w:rsidRPr="00B616DD">
        <w:rPr>
          <w:rFonts w:cs="Times New Roman"/>
          <w:sz w:val="20"/>
          <w:szCs w:val="20"/>
        </w:rPr>
        <w:t> </w:t>
      </w:r>
      <w:r w:rsidRPr="00B616DD">
        <w:rPr>
          <w:rFonts w:ascii="Palatino Linotype" w:hAnsi="Palatino Linotype" w:cs="Times New Roman"/>
          <w:sz w:val="20"/>
          <w:szCs w:val="20"/>
        </w:rPr>
        <w:t>2025, seulement 4</w:t>
      </w:r>
      <w:r w:rsidRPr="00B616DD">
        <w:rPr>
          <w:rFonts w:cs="Times New Roman"/>
          <w:sz w:val="20"/>
          <w:szCs w:val="20"/>
        </w:rPr>
        <w:t> </w:t>
      </w:r>
      <w:r w:rsidRPr="00B616DD">
        <w:rPr>
          <w:rFonts w:ascii="Palatino Linotype" w:hAnsi="Palatino Linotype" w:cs="Times New Roman"/>
          <w:sz w:val="20"/>
          <w:szCs w:val="20"/>
        </w:rPr>
        <w:t xml:space="preserve">% des Congolais </w:t>
      </w:r>
      <w:r w:rsidRPr="00B616DD">
        <w:rPr>
          <w:rFonts w:ascii="Palatino Linotype" w:hAnsi="Palatino Linotype" w:cs="Palatino Linotype"/>
          <w:sz w:val="20"/>
          <w:szCs w:val="20"/>
        </w:rPr>
        <w:t>â</w:t>
      </w:r>
      <w:r w:rsidRPr="00B616DD">
        <w:rPr>
          <w:rFonts w:ascii="Palatino Linotype" w:hAnsi="Palatino Linotype" w:cs="Times New Roman"/>
          <w:sz w:val="20"/>
          <w:szCs w:val="20"/>
        </w:rPr>
        <w:t>g</w:t>
      </w:r>
      <w:r w:rsidRPr="00B616DD">
        <w:rPr>
          <w:rFonts w:ascii="Palatino Linotype" w:hAnsi="Palatino Linotype" w:cs="Palatino Linotype"/>
          <w:sz w:val="20"/>
          <w:szCs w:val="20"/>
        </w:rPr>
        <w:t>é</w:t>
      </w:r>
      <w:r w:rsidRPr="00B616DD">
        <w:rPr>
          <w:rFonts w:ascii="Palatino Linotype" w:hAnsi="Palatino Linotype" w:cs="Times New Roman"/>
          <w:sz w:val="20"/>
          <w:szCs w:val="20"/>
        </w:rPr>
        <w:t xml:space="preserve">s de 15 </w:t>
      </w:r>
      <w:r w:rsidRPr="00B616DD">
        <w:rPr>
          <w:rFonts w:ascii="Palatino Linotype" w:hAnsi="Palatino Linotype" w:cs="Palatino Linotype"/>
          <w:sz w:val="20"/>
          <w:szCs w:val="20"/>
        </w:rPr>
        <w:t>à</w:t>
      </w:r>
      <w:r w:rsidRPr="00B616DD">
        <w:rPr>
          <w:rFonts w:ascii="Palatino Linotype" w:hAnsi="Palatino Linotype" w:cs="Times New Roman"/>
          <w:sz w:val="20"/>
          <w:szCs w:val="20"/>
        </w:rPr>
        <w:t xml:space="preserve"> 49 ans b</w:t>
      </w:r>
      <w:r w:rsidRPr="00B616DD">
        <w:rPr>
          <w:rFonts w:ascii="Palatino Linotype" w:hAnsi="Palatino Linotype" w:cs="Palatino Linotype"/>
          <w:sz w:val="20"/>
          <w:szCs w:val="20"/>
        </w:rPr>
        <w:t>é</w:t>
      </w:r>
      <w:r w:rsidRPr="00B616DD">
        <w:rPr>
          <w:rFonts w:ascii="Palatino Linotype" w:hAnsi="Palatino Linotype" w:cs="Times New Roman"/>
          <w:sz w:val="20"/>
          <w:szCs w:val="20"/>
        </w:rPr>
        <w:t>n</w:t>
      </w:r>
      <w:r w:rsidRPr="00B616DD">
        <w:rPr>
          <w:rFonts w:ascii="Palatino Linotype" w:hAnsi="Palatino Linotype" w:cs="Palatino Linotype"/>
          <w:sz w:val="20"/>
          <w:szCs w:val="20"/>
        </w:rPr>
        <w:t>é</w:t>
      </w:r>
      <w:r w:rsidRPr="00B616DD">
        <w:rPr>
          <w:rFonts w:ascii="Palatino Linotype" w:hAnsi="Palatino Linotype" w:cs="Times New Roman"/>
          <w:sz w:val="20"/>
          <w:szCs w:val="20"/>
        </w:rPr>
        <w:t>ficient d</w:t>
      </w:r>
      <w:r w:rsidRPr="00B616DD">
        <w:rPr>
          <w:rFonts w:ascii="Palatino Linotype" w:hAnsi="Palatino Linotype" w:cs="Palatino Linotype"/>
          <w:sz w:val="20"/>
          <w:szCs w:val="20"/>
        </w:rPr>
        <w:t>’</w:t>
      </w:r>
      <w:r w:rsidRPr="00B616DD">
        <w:rPr>
          <w:rFonts w:ascii="Palatino Linotype" w:hAnsi="Palatino Linotype" w:cs="Times New Roman"/>
          <w:sz w:val="20"/>
          <w:szCs w:val="20"/>
        </w:rPr>
        <w:t>une assurance sant</w:t>
      </w:r>
      <w:r w:rsidRPr="00B616DD">
        <w:rPr>
          <w:rFonts w:ascii="Palatino Linotype" w:hAnsi="Palatino Linotype" w:cs="Palatino Linotype"/>
          <w:sz w:val="20"/>
          <w:szCs w:val="20"/>
        </w:rPr>
        <w:t>é</w:t>
      </w:r>
      <w:r w:rsidRPr="00B616DD">
        <w:rPr>
          <w:rFonts w:ascii="Palatino Linotype" w:hAnsi="Palatino Linotype" w:cs="Times New Roman"/>
          <w:sz w:val="20"/>
          <w:szCs w:val="20"/>
        </w:rPr>
        <w:t>, t</w:t>
      </w:r>
      <w:r w:rsidRPr="00B616DD">
        <w:rPr>
          <w:rFonts w:ascii="Palatino Linotype" w:hAnsi="Palatino Linotype" w:cs="Palatino Linotype"/>
          <w:sz w:val="20"/>
          <w:szCs w:val="20"/>
        </w:rPr>
        <w:t>é</w:t>
      </w:r>
      <w:r w:rsidRPr="00B616DD">
        <w:rPr>
          <w:rFonts w:ascii="Palatino Linotype" w:hAnsi="Palatino Linotype" w:cs="Times New Roman"/>
          <w:sz w:val="20"/>
          <w:szCs w:val="20"/>
        </w:rPr>
        <w:t>moignant d</w:t>
      </w:r>
      <w:r w:rsidRPr="00B616DD">
        <w:rPr>
          <w:rFonts w:ascii="Palatino Linotype" w:hAnsi="Palatino Linotype" w:cs="Palatino Linotype"/>
          <w:sz w:val="20"/>
          <w:szCs w:val="20"/>
        </w:rPr>
        <w:t>’</w:t>
      </w:r>
      <w:r w:rsidRPr="00B616DD">
        <w:rPr>
          <w:rFonts w:ascii="Palatino Linotype" w:hAnsi="Palatino Linotype" w:cs="Times New Roman"/>
          <w:sz w:val="20"/>
          <w:szCs w:val="20"/>
        </w:rPr>
        <w:t>une couverture tr</w:t>
      </w:r>
      <w:r w:rsidRPr="00B616DD">
        <w:rPr>
          <w:rFonts w:ascii="Palatino Linotype" w:hAnsi="Palatino Linotype" w:cs="Palatino Linotype"/>
          <w:sz w:val="20"/>
          <w:szCs w:val="20"/>
        </w:rPr>
        <w:t>è</w:t>
      </w:r>
      <w:r w:rsidRPr="00B616DD">
        <w:rPr>
          <w:rFonts w:ascii="Palatino Linotype" w:hAnsi="Palatino Linotype" w:cs="Times New Roman"/>
          <w:sz w:val="20"/>
          <w:szCs w:val="20"/>
        </w:rPr>
        <w:t xml:space="preserve">s faible, surtout hors des zones urbaines. </w:t>
      </w:r>
      <w:r w:rsidRPr="00B616DD">
        <w:rPr>
          <w:rFonts w:ascii="Palatino Linotype" w:hAnsi="Palatino Linotype" w:cs="Palatino Linotype"/>
          <w:sz w:val="20"/>
          <w:szCs w:val="20"/>
        </w:rPr>
        <w:t>À</w:t>
      </w:r>
      <w:r w:rsidRPr="00B616DD">
        <w:rPr>
          <w:rFonts w:ascii="Palatino Linotype" w:hAnsi="Palatino Linotype" w:cs="Times New Roman"/>
          <w:sz w:val="20"/>
          <w:szCs w:val="20"/>
        </w:rPr>
        <w:t xml:space="preserve"> Kinshasa, la couverture offerte par les employeurs reste le type d’assurance le plus répandu à travers la nation, suivie par les mutuelles ou assurances communautaires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{"citationItems":[{"id":"ITEM-1","itemData":{"author":[{"dropping-particle":"","family":"Democratique","given":"Republique","non-dropping-particle":"","parse-names":false,"suffix":""},{"dropping-particle":"","family":"Congo","given":"D U","non-dropping-particle":"","parse-names":false,"suffix":""}],"id":"ITEM-1","issue":"February","issued":{"date-parts":[["2025"]]},"title":"DU CONGO Enquête Démographique et de Santé EDS-RDC III 2023 – 2024 Rapport final","type":"article-journal"},"uris":["http://www.mendeley.com/documents/?uuid=349625d7-9b5c-40d2-bcb9-9b96e2798aa0"]}],"mendeley":{"formattedCitation":"[6]","plainTextFormattedCitation":"[6]","previouslyFormattedCitation":"[6]"},"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[6]</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Pr>
          <w:rFonts w:ascii="Palatino Linotype" w:hAnsi="Palatino Linotype" w:cs="Times New Roman"/>
          <w:sz w:val="20"/>
          <w:szCs w:val="20"/>
        </w:rPr>
        <w:t xml:space="preserve"> </w:t>
      </w:r>
      <w:r w:rsidRPr="00B616DD">
        <w:rPr>
          <w:rFonts w:ascii="Palatino Linotype" w:hAnsi="Palatino Linotype" w:cs="Times New Roman"/>
          <w:sz w:val="20"/>
          <w:szCs w:val="20"/>
        </w:rPr>
        <w:t>En République démocratique du Congo, les mutuelles de santé jouent un rôle clé pour combler les lacunes des systèmes publics. La loi de 2017 institue un régime obligatoire pour les agents du secteur formel (moins de 20</w:t>
      </w:r>
      <w:r w:rsidRPr="00B616DD">
        <w:rPr>
          <w:rFonts w:cs="Times New Roman"/>
          <w:sz w:val="20"/>
          <w:szCs w:val="20"/>
        </w:rPr>
        <w:t> </w:t>
      </w:r>
      <w:r w:rsidRPr="00B616DD">
        <w:rPr>
          <w:rFonts w:ascii="Palatino Linotype" w:hAnsi="Palatino Linotype" w:cs="Times New Roman"/>
          <w:sz w:val="20"/>
          <w:szCs w:val="20"/>
        </w:rPr>
        <w:t>% de la population) et un r</w:t>
      </w:r>
      <w:r w:rsidRPr="00B616DD">
        <w:rPr>
          <w:rFonts w:ascii="Palatino Linotype" w:hAnsi="Palatino Linotype" w:cs="Palatino Linotype"/>
          <w:sz w:val="20"/>
          <w:szCs w:val="20"/>
        </w:rPr>
        <w:t>é</w:t>
      </w:r>
      <w:r w:rsidRPr="00B616DD">
        <w:rPr>
          <w:rFonts w:ascii="Palatino Linotype" w:hAnsi="Palatino Linotype" w:cs="Times New Roman"/>
          <w:sz w:val="20"/>
          <w:szCs w:val="20"/>
        </w:rPr>
        <w:t>gime volontaire pour ceux du secteur informel (plus de 70</w:t>
      </w:r>
      <w:r w:rsidRPr="00B616DD">
        <w:rPr>
          <w:rFonts w:cs="Times New Roman"/>
          <w:sz w:val="20"/>
          <w:szCs w:val="20"/>
        </w:rPr>
        <w:t> </w:t>
      </w:r>
      <w:r w:rsidRPr="00B616DD">
        <w:rPr>
          <w:rFonts w:ascii="Palatino Linotype" w:hAnsi="Palatino Linotype" w:cs="Times New Roman"/>
          <w:sz w:val="20"/>
          <w:szCs w:val="20"/>
        </w:rPr>
        <w:t xml:space="preserv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id":"ITEM-1","issued":{"date-parts":[["0"]]},"title":".pending-1706209337-ijisr-22-359-10-kahindo-et-al-enjeux-defis-csu-rdc.pdf","type":"article"},"uris":["http://www.mendeley.com/documents/?uuid=142af9c0-5100-4f04-b62e-feb212048f27"]}],"mendeley":{"formattedCitation":"[7]","plainTextFormattedCitation":"[7]","previouslyFormattedCitation":"[7]"},"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[7]</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9011E4">
        <w:rPr>
          <w:rFonts w:ascii="Palatino Linotype" w:hAnsi="Palatino Linotype" w:cs="Times New Roman"/>
          <w:sz w:val="20"/>
          <w:szCs w:val="20"/>
        </w:rPr>
        <w:t xml:space="preserve"> </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En RDC, le système mutualiste a vu le jour dans les années 1950, puis d’autres expériences se sont succédé : c’est le cas de </w:t>
      </w:r>
      <w:proofErr w:type="spellStart"/>
      <w:r w:rsidRPr="00B616DD">
        <w:rPr>
          <w:rFonts w:ascii="Palatino Linotype" w:hAnsi="Palatino Linotype" w:cs="Times New Roman"/>
          <w:sz w:val="20"/>
          <w:szCs w:val="20"/>
        </w:rPr>
        <w:t>Bwamanda</w:t>
      </w:r>
      <w:proofErr w:type="spellEnd"/>
      <w:r w:rsidRPr="00B616DD">
        <w:rPr>
          <w:rFonts w:ascii="Palatino Linotype" w:hAnsi="Palatino Linotype" w:cs="Times New Roman"/>
          <w:sz w:val="20"/>
          <w:szCs w:val="20"/>
        </w:rPr>
        <w:t xml:space="preserve">, depuis 1984, ou encore de la tentative en 1986 dans l’aire de santé de </w:t>
      </w:r>
      <w:proofErr w:type="spellStart"/>
      <w:r w:rsidRPr="00B616DD">
        <w:rPr>
          <w:rFonts w:ascii="Palatino Linotype" w:hAnsi="Palatino Linotype" w:cs="Times New Roman"/>
          <w:sz w:val="20"/>
          <w:szCs w:val="20"/>
        </w:rPr>
        <w:t>Kongolo</w:t>
      </w:r>
      <w:proofErr w:type="spellEnd"/>
      <w:r w:rsidRPr="00B616DD">
        <w:rPr>
          <w:rFonts w:ascii="Palatino Linotype" w:hAnsi="Palatino Linotype" w:cs="Times New Roman"/>
          <w:sz w:val="20"/>
          <w:szCs w:val="20"/>
        </w:rPr>
        <w:t xml:space="preserve">, dans la zone de santé de </w:t>
      </w:r>
      <w:proofErr w:type="spellStart"/>
      <w:r w:rsidRPr="00B616DD">
        <w:rPr>
          <w:rFonts w:ascii="Palatino Linotype" w:hAnsi="Palatino Linotype" w:cs="Times New Roman"/>
          <w:sz w:val="20"/>
          <w:szCs w:val="20"/>
        </w:rPr>
        <w:t>Kasongo</w:t>
      </w:r>
      <w:proofErr w:type="spellEnd"/>
      <w:r w:rsidRPr="00B616DD">
        <w:rPr>
          <w:rFonts w:ascii="Palatino Linotype" w:hAnsi="Palatino Linotype" w:cs="Times New Roman"/>
          <w:sz w:val="20"/>
          <w:szCs w:val="20"/>
        </w:rPr>
        <w:t xml:space="preserve">, qui s’est soldée par un échec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{"citationItems":[{"id":"ITEM-1","itemData":{"author":[{"dropping-particle":"","family":"Mushagalusa","given":"Charles","non-dropping-particle":"","parse-names":false,"suffix":""}],"id":"ITEM-1","issued":{"date-parts":[["0"]]},"title":"Pro le of Health Care Workers in a Context of Instability : A Cross-sectional Study of Four Rural Health Zones in Eastern DR Congo ( Lessons","type":"article-journal"},"uris":["http://www.mendeley.com/documents/?uuid=6f288657-6d3f-4ee0-9b51-a9ae99f7056e"]}],"mendeley":{"formattedCitation":"[8]","plainTextFormattedCitation":"[8]","previouslyFormattedCitation":"[8]"},"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[8]</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Actuellement, les mutuelles de santé sont éparpillées dans plusieurs provinces, comme la ville de Kinshasa, l’ancienne province du Bas-Congo, le Nord-Kivu, le Sud-Kivu, et les anciennes provinces du Bandundu et du Katanga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Waelkens","given":"Maria-pia","non-dropping-particle":"","parse-names":false,"suffix":""},{"dropping-particle":"","family":"Waelkens","given":"Maria-pia","non-dropping-particle":"","parse-names":false,"suffix":""}],"id":"ITEM-1","issued":{"date-parts":[["2016"]]},"page":"1-80","title":"Etude des mutuelles de santé en RDC dans le cadre de la couverture sanitaire universelle Institut de Médecine Tropicale , Anvers , Belgique","type":"article-journal"},"uris":["http://www.mendeley.com/documents/?uuid=64fbd50d-b974-4f23-a26b-d83f53992602"]}],"mendeley":{"formattedCitation":"[9]","plainTextFormattedCitation":"[9]","previouslyFormattedCitation":"[9]"},"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[9]</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9011E4">
        <w:rPr>
          <w:rFonts w:ascii="Palatino Linotype" w:hAnsi="Palatino Linotype" w:cs="Times New Roman"/>
          <w:sz w:val="20"/>
          <w:szCs w:val="20"/>
        </w:rPr>
        <w:t xml:space="preserve"> </w:t>
      </w:r>
      <w:r w:rsidRPr="00B616DD">
        <w:rPr>
          <w:rFonts w:ascii="Palatino Linotype" w:hAnsi="Palatino Linotype" w:cs="Times New Roman"/>
          <w:sz w:val="20"/>
          <w:szCs w:val="20"/>
        </w:rPr>
        <w:t xml:space="preserve">À Bukavu (Sud-Kivu), une étude publiée en 2020 identifie comme déterminants de l’utilisation des mutuelles : le lieu de résidence, le niveau d’instruction du </w:t>
      </w:r>
      <w:r w:rsidRPr="00B616DD">
        <w:rPr>
          <w:rFonts w:ascii="Palatino Linotype" w:hAnsi="Palatino Linotype" w:cs="Times New Roman"/>
          <w:sz w:val="20"/>
          <w:szCs w:val="20"/>
        </w:rPr>
        <w:lastRenderedPageBreak/>
        <w:t xml:space="preserve">chef de ménage, l’expérience antérieure avec les structures sanitaires partenaires, leur réputation et la capacité financière des ménages à payer le ticket modérateur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{"citationItems":[{"id":"ITEM-1","itemData":{"DOI":"10.11604/pamj.2020.35.100.20441","ISSN":"19378688","PMID":"32636998","abstract":"Introduction: this study highlights the determinants of the use of health services by adherents to the three mutual health insurances in the town of Bukavu in the Democratic Republic of the Congo. Methods: we conducted a descriptive cross-sectional study, based on a perception survey among users of healthcare services affiliated to the mutual health insurances in the Bukavu health zones. The encoding and statistical analysis were carried out using the Epi INFO version 2010 software. Results: the main determinants of the use of healthcare services by adherents to the mutual health insurances are: the member’s place of residence, the level of education of the head of household, the previous experience of care in the healthcare structure partner of the mutual health insurances, the reputation of the structure partner of the mutual health insurances and the ability of households to pay the user fee. Conclusion: this study highlights that, beyond the financial barrier, the implementation of a mutual health organisation should promote a better regulation of the user fee and a good quality of care to meet the care needs of members. The factors emerging from the study as a major determinant of the use of health services by adherents to a mutual health insurance are often not taken into account in the implementation of mutual health insurance in contexts similar to those of Bukavu.","author":[{"dropping-particle":"","family":"Bashi","given":"Justine","non-dropping-particle":"","parse-names":false,"suffix":""},{"dropping-particle":"","family":"Sia","given":"Drissa","non-dropping-particle":"","parse-names":false,"suffix":""},{"dropping-particle":"","family":"Tchouaket","given":"Eric","non-dropping-particle":"","parse-names":false,"suffix":""},{"dropping-particle":"","family":"Balegamire","given":"Safari Joseph","non-dropping-particle":"","parse-names":false,"suffix":""},{"dropping-particle":"","family":"Karemere","given":"Hermès","non-dropping-particle":"","parse-names":false,"suffix":""}],"container-title":"Pan African Medical Journal","id":"ITEM-1","issued":{"date-parts":[["2020"]]},"page":"1-11","title":"Mutual health insurance in bukavu in the democratic republic of the congo: Factors favouring the utilization of health services by adherents","type":"article-journal","volume":"35"},"uris":["http://www.mendeley.com/documents/?uuid=cf3c340a-4df4-4af9-8893-d6e569e83a62"]}],"mendeley":{"formattedCitation":"[10]","plainTextFormattedCitation":"[10]","previouslyFormattedCitation":"[10]"},"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[10]</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Pr>
          <w:rFonts w:ascii="Palatino Linotype" w:hAnsi="Palatino Linotype" w:cs="Times New Roman"/>
          <w:sz w:val="20"/>
          <w:szCs w:val="20"/>
        </w:rPr>
        <w:t xml:space="preserve"> </w:t>
      </w:r>
      <w:r w:rsidRPr="00B616DD">
        <w:rPr>
          <w:rFonts w:ascii="Palatino Linotype" w:hAnsi="Palatino Linotype" w:cs="Times New Roman"/>
          <w:sz w:val="20"/>
          <w:szCs w:val="20"/>
        </w:rPr>
        <w:t>Dans la zone de santé d’</w:t>
      </w:r>
      <w:proofErr w:type="spellStart"/>
      <w:r w:rsidRPr="00B616DD">
        <w:rPr>
          <w:rFonts w:ascii="Palatino Linotype" w:hAnsi="Palatino Linotype" w:cs="Times New Roman"/>
          <w:sz w:val="20"/>
          <w:szCs w:val="20"/>
        </w:rPr>
        <w:t>Uvira</w:t>
      </w:r>
      <w:proofErr w:type="spellEnd"/>
      <w:r w:rsidRPr="00B616DD">
        <w:rPr>
          <w:rFonts w:ascii="Palatino Linotype" w:hAnsi="Palatino Linotype" w:cs="Times New Roman"/>
          <w:sz w:val="20"/>
          <w:szCs w:val="20"/>
        </w:rPr>
        <w:t>, en 2024, l’utilisation des mutuelles n’atteint que 33</w:t>
      </w:r>
      <w:r w:rsidRPr="00B616DD">
        <w:rPr>
          <w:rFonts w:cs="Times New Roman"/>
          <w:sz w:val="20"/>
          <w:szCs w:val="20"/>
        </w:rPr>
        <w:t> </w:t>
      </w:r>
      <w:r w:rsidRPr="00B616DD">
        <w:rPr>
          <w:rFonts w:ascii="Palatino Linotype" w:hAnsi="Palatino Linotype" w:cs="Times New Roman"/>
          <w:sz w:val="20"/>
          <w:szCs w:val="20"/>
        </w:rPr>
        <w:t>%, frein</w:t>
      </w:r>
      <w:r w:rsidRPr="00B616DD">
        <w:rPr>
          <w:rFonts w:ascii="Palatino Linotype" w:hAnsi="Palatino Linotype" w:cs="Palatino Linotype"/>
          <w:sz w:val="20"/>
          <w:szCs w:val="20"/>
        </w:rPr>
        <w:t>é</w:t>
      </w:r>
      <w:r w:rsidRPr="00B616DD">
        <w:rPr>
          <w:rFonts w:ascii="Palatino Linotype" w:hAnsi="Palatino Linotype" w:cs="Times New Roman"/>
          <w:sz w:val="20"/>
          <w:szCs w:val="20"/>
        </w:rPr>
        <w:t>e par la m</w:t>
      </w:r>
      <w:r w:rsidRPr="00B616DD">
        <w:rPr>
          <w:rFonts w:ascii="Palatino Linotype" w:hAnsi="Palatino Linotype" w:cs="Palatino Linotype"/>
          <w:sz w:val="20"/>
          <w:szCs w:val="20"/>
        </w:rPr>
        <w:t>é</w:t>
      </w:r>
      <w:r w:rsidRPr="00B616DD">
        <w:rPr>
          <w:rFonts w:ascii="Palatino Linotype" w:hAnsi="Palatino Linotype" w:cs="Times New Roman"/>
          <w:sz w:val="20"/>
          <w:szCs w:val="20"/>
        </w:rPr>
        <w:t>connaissance des modalit</w:t>
      </w:r>
      <w:r w:rsidRPr="00B616DD">
        <w:rPr>
          <w:rFonts w:ascii="Palatino Linotype" w:hAnsi="Palatino Linotype" w:cs="Palatino Linotype"/>
          <w:sz w:val="20"/>
          <w:szCs w:val="20"/>
        </w:rPr>
        <w:t>é</w:t>
      </w:r>
      <w:r w:rsidRPr="00B616DD">
        <w:rPr>
          <w:rFonts w:ascii="Palatino Linotype" w:hAnsi="Palatino Linotype" w:cs="Times New Roman"/>
          <w:sz w:val="20"/>
          <w:szCs w:val="20"/>
        </w:rPr>
        <w:t xml:space="preserve">s de cotisation, le manque de confiance envers les gestionnaires, l’opacité de la gestion, les coûts des soins et des médicaments, ainsi que l’absence de personnel qualifié dans certaines structures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{"citationItems":[{"id":"ITEM-1","itemData":{"author":[{"dropping-particle":"","family":"Élias","given":"Raphaël B","non-dropping-particle":"","parse-names":false,"suffix":""},{"dropping-particle":"","family":"Bitongwa","given":"Jacques M","non-dropping-particle":"","parse-names":false,"suffix":""},{"dropping-particle":"","family":"Kamundu","given":"Amos K","non-dropping-particle":"","parse-names":false,"suffix":""},{"dropping-particle":"","family":"Ngaboyeka","given":"Mutabazi","non-dropping-particle":"","parse-names":false,"suffix":""},{"dropping-particle":"","family":"Wembonyama","given":"Stanis O","non-dropping-particle":"","parse-names":false,"suffix":""}],"id":"ITEM-1","issue":"September","issued":{"date-parts":[["2024"]]},"title":"d ' Uvira au Sud-Kivu Facteurs favorisant l ’ utilisation des mutuelle s de santé dans la zone de santé d ’ Uvira au Sud-Kivu","type":"article-journal"},"uris":["http://www.mendeley.com/documents/?uuid=ae4a6b57-4288-4c9e-81f6-b5771e6dd159"]}],"mendeley":{"formattedCitation":"[11]","plainTextFormattedCitation":"[11]","previouslyFormattedCitation":"[11]"},"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[11]</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Pr>
          <w:rFonts w:ascii="Palatino Linotype" w:hAnsi="Palatino Linotype" w:cs="Times New Roman"/>
          <w:sz w:val="20"/>
          <w:szCs w:val="20"/>
        </w:rPr>
        <w:t xml:space="preserve"> </w:t>
      </w:r>
      <w:r w:rsidRPr="00B616DD">
        <w:rPr>
          <w:rFonts w:ascii="Palatino Linotype" w:hAnsi="Palatino Linotype" w:cs="Times New Roman"/>
          <w:sz w:val="20"/>
          <w:szCs w:val="20"/>
        </w:rPr>
        <w:t>À Goma, le revenu mensuel médian est estimé à 140</w:t>
      </w:r>
      <w:r w:rsidRPr="00B616DD">
        <w:rPr>
          <w:rFonts w:cs="Times New Roman"/>
          <w:sz w:val="20"/>
          <w:szCs w:val="20"/>
        </w:rPr>
        <w:t> </w:t>
      </w:r>
      <w:r w:rsidRPr="00B616DD">
        <w:rPr>
          <w:rFonts w:ascii="Palatino Linotype" w:hAnsi="Palatino Linotype" w:cs="Times New Roman"/>
          <w:sz w:val="20"/>
          <w:szCs w:val="20"/>
        </w:rPr>
        <w:t>USD, ce qui constitue un d</w:t>
      </w:r>
      <w:r w:rsidRPr="00B616DD">
        <w:rPr>
          <w:rFonts w:ascii="Palatino Linotype" w:hAnsi="Palatino Linotype" w:cs="Palatino Linotype"/>
          <w:sz w:val="20"/>
          <w:szCs w:val="20"/>
        </w:rPr>
        <w:t>é</w:t>
      </w:r>
      <w:r w:rsidRPr="00B616DD">
        <w:rPr>
          <w:rFonts w:ascii="Palatino Linotype" w:hAnsi="Palatino Linotype" w:cs="Times New Roman"/>
          <w:sz w:val="20"/>
          <w:szCs w:val="20"/>
        </w:rPr>
        <w:t>fi consid</w:t>
      </w:r>
      <w:r w:rsidRPr="00B616DD">
        <w:rPr>
          <w:rFonts w:ascii="Palatino Linotype" w:hAnsi="Palatino Linotype" w:cs="Palatino Linotype"/>
          <w:sz w:val="20"/>
          <w:szCs w:val="20"/>
        </w:rPr>
        <w:t>é</w:t>
      </w:r>
      <w:r w:rsidRPr="00B616DD">
        <w:rPr>
          <w:rFonts w:ascii="Palatino Linotype" w:hAnsi="Palatino Linotype" w:cs="Times New Roman"/>
          <w:sz w:val="20"/>
          <w:szCs w:val="20"/>
        </w:rPr>
        <w:t>rable pour la viabilit</w:t>
      </w:r>
      <w:r w:rsidRPr="00B616DD">
        <w:rPr>
          <w:rFonts w:ascii="Palatino Linotype" w:hAnsi="Palatino Linotype" w:cs="Palatino Linotype"/>
          <w:sz w:val="20"/>
          <w:szCs w:val="20"/>
        </w:rPr>
        <w:t>é</w:t>
      </w:r>
      <w:r w:rsidRPr="00B616DD">
        <w:rPr>
          <w:rFonts w:ascii="Palatino Linotype" w:hAnsi="Palatino Linotype" w:cs="Times New Roman"/>
          <w:sz w:val="20"/>
          <w:szCs w:val="20"/>
        </w:rPr>
        <w:t xml:space="preserve"> des mutuelles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id":"ITEM-1","issued":{"date-parts":[["0"]]},"title":".pending-1706209337-ijisr-22-359-10-kahindo-et-al-enjeux-defis-csu-rdc.pdf","type":"article"},"uris":["http://www.mendeley.com/documents/?uuid=142af9c0-5100-4f04-b62e-feb212048f27"]}],"mendeley":{"formattedCitation":"[7]","plainTextFormattedCitation":"[7]","previouslyFormattedCitation":"[7]"},"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[7]</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Il ressort de plusieurs études que le mode de financement basé sur les mutuelles, quoique prometteur, présente des défis énormes liés notamment à sa mise en œuvre, à la faible capacité managériale, à l’absence de mécanismes de contrôle du risque moral, à la faible adhésion et à la mobilisation limitée de ressources financières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{"citationItems":[{"id":"ITEM-1","itemData":{"ISBN":"1932126899","abstract":"Quelles sont les causes du faible taux dadhésion aux mutuelles de santé en Afrique sub- saharienne Telle est la question centrale de létude que nous présentons dans cette monographie. Dans un premier temps nous évaluons ce que la littérature scientifique apprend sur ce sujet. Puis, nous proposons un agenda de recherche pour approfondir la question. Une revue des études disponibles permet didentifier une liste de facteurs qui influencent ladhésion aux systèmes de micro-assurance santé. Les principaux facteurs sont la qualité des soins de santé, la confiance des habitants dans la réussite de lentreprise et la capacité financière des communautés. Mais une lecture attentive de ces études, de travaux de synthèse et de documents conceptuels qui traitent de la micro- assurance santé, montre que le cadre sous jacent est fortement influencé par les aspects techniques et financiers au dépens des aspects humains et du contexte structurel et socioculturel dans lequel ces systèmes opèrent. Lobservation et la documentation des initiatives existantes devraient faire appel à un nouveau cadre danalyse qui tienne compte du contexte, de la dynamique sociale et des interactions humaines dans lorganisation et la gestion de tels systèmes. Lagenda de recherche que nous proposons repose sur lhypothèse suivante : pour améliorer la performance des systèmes de micro-assurance santé et ladhésion des populations concernées, le défi nest pas de développer un modèle idéal, mais de concevoir des systèmes sur mesure, adaptés à chaque situation. Une approche multi-disciplinaire est nécessaire pour concevoir un cadre danalyse qui ne tienne pas seulement compte des aspects techniques et financiers, mais aussi des dimensions sociales et associatives, ainsi que de linsertion des systèmes dans lorganisation des systèmes de santé et dans un environnement social, culturel, économique et institutionnel donné The main subject of the study that is at the origin of this discussion paper is the quest of the causes of the low subscription rates to Mutual Health Organisations in sub-Saharan Africa. We first present a critical analysis of what the scientific literature tells us about this topic before proposing an agenda for further research. Several studies that investigate the possible causes of the low coverage rates of Mutual Health Organisations suggest a variety of factors influencing enrolment. The most important ones seem to be the quality of health care services, the confidence people have in…","author":[{"dropping-particle":"","family":"Waelkens","given":"Maria-pia","non-dropping-particle":"","parse-names":false,"suffix":""},{"dropping-particle":"","family":"Mars","given":"Bart Criel","non-dropping-particle":"","parse-names":false,"suffix":""}],"id":"ITEM-1","issue":"January 2004","issued":{"date-parts":[["2004"]]},"title":"Les Mutuelles de Santé en Afrique Sub- Saharienne État des Lieux et Réflexions sur un Agenda de Recherche","type":"book"},"uris":["http://www.mendeley.com/documents/?uuid=5a013af9-12a4-4673-b205-a0dca36428b3"]}],"mendeley":{"formattedCitation":"[4]","plainTextFormattedCitation":"[4]","previouslyFormattedCitation":"[4]"},"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[4]</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Parmi les éléments de cette faible capacité managériale figurent l’absence d’outils de gestion, l’insuffisance de campagnes de sensibilisation et d’information, le faible recouvrement des cotisations, et la faiblesse dans la négociation des conventions avec les prestataires de soins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Kigume","given":"Ramadhani","non-dropping-particle":"","parse-names":false,"suffix":""},{"dropping-particle":"","family":"Maluka","given":"Stephen","non-dropping-particle":"","parse-names":false,"suffix":""}],"id":"ITEM-1","issued":{"date-parts":[["2021"]]},"page":"1-9","publisher":"BMC Health Services Research","title":"The failure of community-based health insurance schemes in Tanzania : opening the black box of the implementation process","type":"article-journal","volume":"6"},"uris":["http://www.mendeley.com/documents/?uuid=53308e31-b6ef-4a1b-937c-4b6754fb3ed9"]}],"mendeley":{"formattedCitation":"[12]","plainTextFormattedCitation":"[12]","previouslyFormattedCitation":"[12]"},"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[12]</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Pr>
          <w:rFonts w:ascii="Palatino Linotype" w:hAnsi="Palatino Linotype" w:cs="Times New Roman"/>
          <w:sz w:val="20"/>
          <w:szCs w:val="20"/>
        </w:rPr>
        <w:t xml:space="preserve"> </w:t>
      </w:r>
      <w:r w:rsidRPr="00B616DD">
        <w:rPr>
          <w:rFonts w:ascii="Palatino Linotype" w:hAnsi="Palatino Linotype" w:cs="Times New Roman"/>
          <w:sz w:val="20"/>
          <w:szCs w:val="20"/>
        </w:rPr>
        <w:t>Dans le contexte actuel de la République démocratique du Congo, qui s'engage vers la Couverture sanitaire universelle (CSU), la province du Nord-Kivu, et plus particulièrement la ville de Goma, est également impliquée dans ce processus. Il est essentiel de s'assurer que les promoteurs et responsables des mutuelles de santé disposent de méthodes et d'outils cohérents et adaptés pour améliorer leur gestion.</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La question de la viabilité des mutuelles de santé à Goma se pose donc. Une étude sur ce phénomène en milieu urbain pourrait affiner les stratégies nécessaires au développement d'un système de gestion de l'assurance maladie, fondé sur des données probantes et prenant en compte les spécificités du contexte urbain du Kivu.</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L’objectif de cette étude est d’évaluer la viabilité des mutuelles de santé dans la ville de Goma, à l’est de la RDC.</w:t>
      </w:r>
    </w:p>
    <w:p w:rsidR="00B616DD" w:rsidRPr="00B616DD" w:rsidRDefault="00B616DD" w:rsidP="003D74BD">
      <w:pPr>
        <w:spacing w:before="240" w:after="0"/>
        <w:jc w:val="both"/>
        <w:rPr>
          <w:rFonts w:ascii="Palatino Linotype" w:hAnsi="Palatino Linotype" w:cs="Times New Roman"/>
          <w:sz w:val="20"/>
          <w:szCs w:val="20"/>
        </w:rPr>
      </w:pPr>
      <w:r w:rsidRPr="00B616DD">
        <w:rPr>
          <w:rFonts w:ascii="Palatino Linotype" w:hAnsi="Palatino Linotype"/>
          <w:b/>
          <w:bCs/>
          <w:sz w:val="20"/>
          <w:szCs w:val="20"/>
        </w:rPr>
        <w:t xml:space="preserve">Matériel et </w:t>
      </w:r>
      <w:r w:rsidRPr="003D74BD">
        <w:rPr>
          <w:rFonts w:ascii="Palatino Linotype" w:hAnsi="Palatino Linotype" w:cs="Times New Roman"/>
          <w:b/>
          <w:sz w:val="20"/>
          <w:szCs w:val="20"/>
        </w:rPr>
        <w:t>méthodes</w:t>
      </w:r>
    </w:p>
    <w:p w:rsidR="00B616DD" w:rsidRPr="00B616DD" w:rsidRDefault="00B616DD" w:rsidP="003D74BD">
      <w:pPr>
        <w:spacing w:before="240" w:after="0"/>
        <w:jc w:val="both"/>
        <w:rPr>
          <w:rFonts w:ascii="Palatino Linotype" w:hAnsi="Palatino Linotype" w:cs="Times New Roman"/>
          <w:sz w:val="20"/>
          <w:szCs w:val="20"/>
        </w:rPr>
      </w:pPr>
      <w:r w:rsidRPr="00B616DD">
        <w:rPr>
          <w:rFonts w:ascii="Palatino Linotype" w:hAnsi="Palatino Linotype"/>
          <w:b/>
          <w:bCs/>
          <w:sz w:val="20"/>
          <w:szCs w:val="20"/>
        </w:rPr>
        <w:t xml:space="preserve">Type et période </w:t>
      </w:r>
      <w:r w:rsidRPr="003D74BD">
        <w:rPr>
          <w:rFonts w:ascii="Palatino Linotype" w:hAnsi="Palatino Linotype" w:cs="Times New Roman"/>
          <w:b/>
          <w:sz w:val="20"/>
          <w:szCs w:val="20"/>
        </w:rPr>
        <w:t>de</w:t>
      </w:r>
      <w:r w:rsidRPr="00B616DD">
        <w:rPr>
          <w:rFonts w:ascii="Palatino Linotype" w:hAnsi="Palatino Linotype"/>
          <w:b/>
          <w:bCs/>
          <w:sz w:val="20"/>
          <w:szCs w:val="20"/>
        </w:rPr>
        <w:t xml:space="preserve"> l’étude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Il s’agit d’une étude transversale descriptive à visée évaluative, réalisée du 1ᵉ</w:t>
      </w:r>
      <w:r w:rsidRPr="00B616DD">
        <w:rPr>
          <w:rFonts w:cs="Times New Roman"/>
          <w:sz w:val="20"/>
          <w:szCs w:val="20"/>
        </w:rPr>
        <w:t>ʳ</w:t>
      </w:r>
      <w:r w:rsidRPr="00B616DD">
        <w:rPr>
          <w:rFonts w:ascii="Palatino Linotype" w:hAnsi="Palatino Linotype" w:cs="Times New Roman"/>
          <w:sz w:val="20"/>
          <w:szCs w:val="20"/>
        </w:rPr>
        <w:t xml:space="preserve"> au 30 avril 2024. Elle a été menée auprès de mutuelles de santé opérant dans la ville de Goma, située à l’est de la République Démocratique du Congo (RDC).</w:t>
      </w:r>
    </w:p>
    <w:p w:rsidR="00B616DD" w:rsidRPr="00B616DD" w:rsidRDefault="00B616DD" w:rsidP="003D74BD">
      <w:pPr>
        <w:spacing w:before="240" w:after="0"/>
        <w:jc w:val="both"/>
        <w:rPr>
          <w:rFonts w:ascii="Palatino Linotype" w:hAnsi="Palatino Linotype" w:cs="Times New Roman"/>
          <w:sz w:val="20"/>
          <w:szCs w:val="20"/>
        </w:rPr>
      </w:pPr>
      <w:r w:rsidRPr="00B616DD">
        <w:rPr>
          <w:rFonts w:ascii="Palatino Linotype" w:hAnsi="Palatino Linotype"/>
          <w:b/>
          <w:bCs/>
          <w:sz w:val="20"/>
          <w:szCs w:val="20"/>
        </w:rPr>
        <w:t>Cadre de l’étude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Goma est le chef-lieu de la province du Nord-Kivu, une région marquée par une instabilité sécuritaire persistante, </w:t>
      </w:r>
      <w:r w:rsidRPr="00B616DD">
        <w:rPr>
          <w:rFonts w:ascii="Palatino Linotype" w:hAnsi="Palatino Linotype" w:cs="Times New Roman"/>
          <w:sz w:val="20"/>
          <w:szCs w:val="20"/>
        </w:rPr>
        <w:lastRenderedPageBreak/>
        <w:t xml:space="preserve">liée notamment aux affrontements entre les Forces Armées de la République Démocratique du Congo (FARDC) et le groupe armé M23. Ce contexte conflictuel aggrave une situation humanitaire déjà précaire et entraîne des déplacements massifs de populations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{"citationItems":[{"id":"ITEM-1","itemData":{"author":[{"dropping-particle":"","family":"L'OIM","given":"Displacement Tracking Matrix (DTM) de RDC — Nord-Kivu : Rapport d'Enregistrement — Goma (Juillet 2023)","non-dropping-particle":"","parse-names":false,"suffix":""}],"id":"ITEM-1","issued":{"date-parts":[["2023"]]},"title":"RDC — Nord-Kivu : Rapport d'Enregistrement — Goma (Juillet 2023)","type":"article-journal"},"uris":["http://www.mendeley.com/documents/?uuid=317837ba-162b-455c-9e95-6dc03a1dfd8d"]}],"mendeley":{"formattedCitation":"[13]","plainTextFormattedCitation":"[13]","previouslyFormattedCitation":"[13]"},"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[13]</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3D74BD">
        <w:rPr>
          <w:rFonts w:ascii="Palatino Linotype" w:hAnsi="Palatino Linotype" w:cs="Times New Roman"/>
          <w:sz w:val="20"/>
          <w:szCs w:val="20"/>
        </w:rPr>
        <w:t xml:space="preserve"> </w:t>
      </w:r>
      <w:r w:rsidRPr="00B616DD">
        <w:rPr>
          <w:rFonts w:ascii="Palatino Linotype" w:hAnsi="Palatino Linotype" w:cs="Times New Roman"/>
          <w:sz w:val="20"/>
          <w:szCs w:val="20"/>
        </w:rPr>
        <w:t xml:space="preserve">Géographiquement, la ville est située entre le parc national des Virunga au nord-ouest, le lac Kivu au sud et la frontière rwandaise à l’est. La population est passée d’environ 1 million en 2017 à près de 2 millions en 2023. Plus de 80 % des habitants vivent dans des conditions de grande précarité, souvent dans le secteur informel. La situation socio-économique est fortement impactée par l’insécurité et les conflits armés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{"citationItems":[{"id":"ITEM-1","itemData":{"author":[{"dropping-particle":"","family":"Nzanzu","given":"Mahamba","non-dropping-particle":"","parse-names":false,"suffix":""},{"dropping-particle":"","family":"Prudence","given":"Mitangala Ndeba","non-dropping-particle":"","parse-names":false,"suffix":""},{"dropping-particle":"","family":"Tchouaket","given":"Eric","non-dropping-particle":"","parse-names":false,"suffix":""},{"dropping-particle":"","family":"Musubao","given":"Edgar Tsongo","non-dropping-particle":"","parse-names":false,"suffix":""},{"dropping-particle":"","family":"Aminata","given":"Kavugho Kayenga","non-dropping-particle":"","parse-names":false,"suffix":""}],"id":"ITEM-1","issue":"November","issued":{"date-parts":[["2021"]]},"page":"65-79","title":"la République Démocratique du Congo [ Household income and health care expenditure in Goma city , easter ... Revenu et dépenses de soins des ménages en milieu urbain de Goma , à l ’ est de la République Démocratique du Congo [ Household income and health ","type":"article-journal","volume":"57"},"uris":["http://www.mendeley.com/documents/?uuid=6c1c0b1a-e0cd-4d2e-8ff8-b791e949382b"]}],"mendeley":{"formattedCitation":"[14]","plainTextFormattedCitation":"[14]","previouslyFormattedCitation":"[14]"},"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[14]</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Sur le plan sanitaire, Goma est couverte par deux zones de santé urbaines : Goma et Karisimbi. Ces dernières font face à de nombreux défis, dont l’accès limité aux soins, en raison de la densité démographique et de l’insécurité persistante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{"citationItems":[{"id":"ITEM-1","itemData":{"author":[{"dropping-particle":"","family":"Nzanzu","given":"Mahamba","non-dropping-particle":"","parse-names":false,"suffix":""},{"dropping-particle":"","family":"Prudence","given":"Mitangala Ndeba","non-dropping-particle":"","parse-names":false,"suffix":""},{"dropping-particle":"","family":"Tchouaket","given":"Eric","non-dropping-particle":"","parse-names":false,"suffix":""},{"dropping-particle":"","family":"Musubao","given":"Edgar Tsongo","non-dropping-particle":"","parse-names":false,"suffix":""},{"dropping-particle":"","family":"Aminata","given":"Kavugho Kayenga","non-dropping-particle":"","parse-names":false,"suffix":""}],"id":"ITEM-1","issue":"November","issued":{"date-parts":[["2021"]]},"page":"65-79","title":"la République Démocratique du Congo [ Household income and health care expenditure in Goma city , easter ... Revenu et dépenses de soins des ménages en milieu urbain de Goma , à l ’ est de la République Démocratique du Congo [ Household income and health ","type":"article-journal","volume":"57"},"uris":["http://www.mendeley.com/documents/?uuid=6c1c0b1a-e0cd-4d2e-8ff8-b791e949382b"]}],"mendeley":{"formattedCitation":"[14]","plainTextFormattedCitation":"[14]","previouslyFormattedCitation":"[14]"},"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[14]</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9011E4">
        <w:rPr>
          <w:rFonts w:ascii="Palatino Linotype" w:hAnsi="Palatino Linotype" w:cs="Times New Roman"/>
          <w:sz w:val="20"/>
          <w:szCs w:val="20"/>
        </w:rPr>
        <w:t xml:space="preserve"> </w:t>
      </w:r>
      <w:r w:rsidRPr="00B616DD">
        <w:rPr>
          <w:rFonts w:ascii="Palatino Linotype" w:hAnsi="Palatino Linotype" w:cs="Times New Roman"/>
          <w:sz w:val="20"/>
          <w:szCs w:val="20"/>
        </w:rPr>
        <w:t xml:space="preserve">En 2023, la ville comptait cinq mutuelles de santé actives : </w:t>
      </w:r>
      <w:proofErr w:type="spellStart"/>
      <w:r w:rsidRPr="00B616DD">
        <w:rPr>
          <w:rFonts w:ascii="Palatino Linotype" w:hAnsi="Palatino Linotype" w:cs="Times New Roman"/>
          <w:sz w:val="20"/>
          <w:szCs w:val="20"/>
        </w:rPr>
        <w:t>Musanovie</w:t>
      </w:r>
      <w:proofErr w:type="spellEnd"/>
      <w:r w:rsidRPr="00B616DD">
        <w:rPr>
          <w:rFonts w:ascii="Palatino Linotype" w:hAnsi="Palatino Linotype" w:cs="Times New Roman"/>
          <w:sz w:val="20"/>
          <w:szCs w:val="20"/>
        </w:rPr>
        <w:t xml:space="preserve">, </w:t>
      </w:r>
      <w:proofErr w:type="spellStart"/>
      <w:r w:rsidRPr="00B616DD">
        <w:rPr>
          <w:rFonts w:ascii="Palatino Linotype" w:hAnsi="Palatino Linotype" w:cs="Times New Roman"/>
          <w:sz w:val="20"/>
          <w:szCs w:val="20"/>
        </w:rPr>
        <w:t>Musacom</w:t>
      </w:r>
      <w:proofErr w:type="spellEnd"/>
      <w:r w:rsidRPr="00B616DD">
        <w:rPr>
          <w:rFonts w:ascii="Palatino Linotype" w:hAnsi="Palatino Linotype" w:cs="Times New Roman"/>
          <w:sz w:val="20"/>
          <w:szCs w:val="20"/>
        </w:rPr>
        <w:t xml:space="preserve">, Santé pour tous, Saint Raphaël et </w:t>
      </w:r>
      <w:proofErr w:type="spellStart"/>
      <w:r w:rsidRPr="00B616DD">
        <w:rPr>
          <w:rFonts w:ascii="Palatino Linotype" w:hAnsi="Palatino Linotype" w:cs="Times New Roman"/>
          <w:sz w:val="20"/>
          <w:szCs w:val="20"/>
        </w:rPr>
        <w:t>Kingo</w:t>
      </w:r>
      <w:proofErr w:type="spellEnd"/>
      <w:r w:rsidRPr="00B616DD">
        <w:rPr>
          <w:rFonts w:ascii="Palatino Linotype" w:hAnsi="Palatino Linotype" w:cs="Times New Roman"/>
          <w:sz w:val="20"/>
          <w:szCs w:val="20"/>
        </w:rPr>
        <w:t xml:space="preserve"> la </w:t>
      </w:r>
      <w:proofErr w:type="spellStart"/>
      <w:r w:rsidRPr="00B616DD">
        <w:rPr>
          <w:rFonts w:ascii="Palatino Linotype" w:hAnsi="Palatino Linotype" w:cs="Times New Roman"/>
          <w:sz w:val="20"/>
          <w:szCs w:val="20"/>
        </w:rPr>
        <w:t>Afia</w:t>
      </w:r>
      <w:proofErr w:type="spellEnd"/>
      <w:r w:rsidRPr="00B616DD">
        <w:rPr>
          <w:rFonts w:ascii="Palatino Linotype" w:hAnsi="Palatino Linotype" w:cs="Times New Roman"/>
          <w:sz w:val="20"/>
          <w:szCs w:val="20"/>
        </w:rPr>
        <w:t>, comptant respectivement 12729, 2350, 500, 2570 et 1660 bénéficiaires.</w:t>
      </w:r>
    </w:p>
    <w:p w:rsidR="00B616DD" w:rsidRPr="00B616DD" w:rsidRDefault="00B616DD" w:rsidP="003D74BD">
      <w:pPr>
        <w:spacing w:before="240" w:after="0"/>
        <w:jc w:val="both"/>
        <w:rPr>
          <w:rFonts w:ascii="Palatino Linotype" w:hAnsi="Palatino Linotype" w:cs="Times New Roman"/>
          <w:sz w:val="20"/>
          <w:szCs w:val="20"/>
        </w:rPr>
      </w:pPr>
      <w:r w:rsidRPr="00B616DD">
        <w:rPr>
          <w:rFonts w:ascii="Palatino Linotype" w:hAnsi="Palatino Linotype"/>
          <w:b/>
          <w:bCs/>
          <w:sz w:val="20"/>
          <w:szCs w:val="20"/>
        </w:rPr>
        <w:t xml:space="preserve">Population </w:t>
      </w:r>
      <w:r w:rsidRPr="003D74BD">
        <w:rPr>
          <w:rFonts w:ascii="Palatino Linotype" w:hAnsi="Palatino Linotype" w:cs="Times New Roman"/>
          <w:b/>
          <w:sz w:val="20"/>
          <w:szCs w:val="20"/>
        </w:rPr>
        <w:t>d’étude</w:t>
      </w:r>
      <w:r w:rsidRPr="00B616DD">
        <w:rPr>
          <w:rFonts w:ascii="Palatino Linotype" w:hAnsi="Palatino Linotype"/>
          <w:b/>
          <w:bCs/>
          <w:sz w:val="20"/>
          <w:szCs w:val="20"/>
        </w:rPr>
        <w:t xml:space="preserve"> et échantillonnage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La population d’étude était constituée des cinq mutuelles de santé recensées dans la ville de Goma en 2023. Un échantillonnage exhaustif a été réalisé, incluant quatre de ces structures.</w:t>
      </w:r>
    </w:p>
    <w:p w:rsidR="00B616DD" w:rsidRPr="00B616DD" w:rsidRDefault="00B616DD" w:rsidP="003D74BD">
      <w:pPr>
        <w:spacing w:before="240" w:after="0"/>
        <w:jc w:val="both"/>
        <w:rPr>
          <w:rFonts w:ascii="Palatino Linotype" w:hAnsi="Palatino Linotype" w:cs="Times New Roman"/>
          <w:sz w:val="20"/>
          <w:szCs w:val="20"/>
        </w:rPr>
      </w:pPr>
      <w:r w:rsidRPr="00B616DD">
        <w:rPr>
          <w:rFonts w:ascii="Palatino Linotype" w:hAnsi="Palatino Linotype"/>
          <w:b/>
          <w:bCs/>
          <w:sz w:val="20"/>
          <w:szCs w:val="20"/>
        </w:rPr>
        <w:t>Collecte des données</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La collecte des données a été conduite par quatre enquêteurs du Programme National de Promotion des Mutuelles de Santé, titulaires d’un diplôme de niveau licence minimum. Ces enquêteurs ont bénéficié d’une formation préalable de trois jours. Une phase pilote a permis d’ajuster les outils de collecte.</w:t>
      </w:r>
      <w:r w:rsidR="003D74BD">
        <w:rPr>
          <w:rFonts w:ascii="Palatino Linotype" w:hAnsi="Palatino Linotype" w:cs="Times New Roman"/>
          <w:sz w:val="20"/>
          <w:szCs w:val="20"/>
        </w:rPr>
        <w:t xml:space="preserve"> </w:t>
      </w:r>
      <w:r w:rsidRPr="00B616DD">
        <w:rPr>
          <w:rFonts w:ascii="Palatino Linotype" w:hAnsi="Palatino Linotype" w:cs="Times New Roman"/>
          <w:sz w:val="20"/>
          <w:szCs w:val="20"/>
        </w:rPr>
        <w:t>Le questionnaire structuré a été administré aux présidents ou représentants des mutuelles, ainsi qu’aux gestionnaires, secrétaires et comptables, selon un chronogramme prédéfini. Les données ont été recueillies en avril 2024.</w:t>
      </w:r>
      <w:r w:rsidR="009011E4">
        <w:rPr>
          <w:rFonts w:ascii="Palatino Linotype" w:hAnsi="Palatino Linotype" w:cs="Times New Roman"/>
          <w:sz w:val="20"/>
          <w:szCs w:val="20"/>
        </w:rPr>
        <w:t xml:space="preserve"> </w:t>
      </w:r>
      <w:r w:rsidRPr="00B616DD">
        <w:rPr>
          <w:rFonts w:ascii="Palatino Linotype" w:hAnsi="Palatino Linotype" w:cs="Times New Roman"/>
          <w:sz w:val="20"/>
          <w:szCs w:val="20"/>
        </w:rPr>
        <w:t>Le questionnaire portait sur cinq dimensions de viabilité :</w:t>
      </w:r>
    </w:p>
    <w:p w:rsidR="00B616DD" w:rsidRPr="00B616DD" w:rsidRDefault="00B616DD" w:rsidP="00B616DD">
      <w:pPr>
        <w:spacing w:after="0" w:line="240" w:lineRule="auto"/>
        <w:jc w:val="both"/>
        <w:rPr>
          <w:rFonts w:ascii="Palatino Linotype" w:hAnsi="Palatino Linotype" w:cs="Times New Roman"/>
          <w:sz w:val="20"/>
          <w:szCs w:val="20"/>
        </w:rPr>
      </w:pPr>
      <w:r w:rsidRPr="003D74BD">
        <w:rPr>
          <w:rFonts w:ascii="Palatino Linotype" w:hAnsi="Palatino Linotype" w:cs="Times New Roman"/>
          <w:bCs/>
          <w:sz w:val="20"/>
          <w:szCs w:val="20"/>
        </w:rPr>
        <w:t>Viabilité institutionnelle</w:t>
      </w:r>
      <w:r w:rsidRPr="00B616DD">
        <w:rPr>
          <w:rFonts w:ascii="Palatino Linotype" w:hAnsi="Palatino Linotype" w:cs="Times New Roman"/>
          <w:sz w:val="20"/>
          <w:szCs w:val="20"/>
        </w:rPr>
        <w:t xml:space="preserve"> : existence des documents légaux (statuts, ROI), autorisation de fonctionnement, affiliation à une association de mutuelles, compte bancaire, organigramme, manuel de procédures, étude de faisabilité.</w:t>
      </w:r>
      <w:r w:rsidR="00282040">
        <w:rPr>
          <w:rFonts w:ascii="Palatino Linotype" w:hAnsi="Palatino Linotype" w:cs="Times New Roman"/>
          <w:sz w:val="20"/>
          <w:szCs w:val="20"/>
        </w:rPr>
        <w:t xml:space="preserve"> </w:t>
      </w:r>
      <w:r w:rsidRPr="003D74BD">
        <w:rPr>
          <w:rFonts w:ascii="Palatino Linotype" w:hAnsi="Palatino Linotype" w:cs="Times New Roman"/>
          <w:bCs/>
          <w:sz w:val="20"/>
          <w:szCs w:val="20"/>
        </w:rPr>
        <w:t>Viabilité administrative</w:t>
      </w:r>
      <w:r w:rsidRPr="00B616DD">
        <w:rPr>
          <w:rFonts w:ascii="Palatino Linotype" w:hAnsi="Palatino Linotype" w:cs="Times New Roman"/>
          <w:sz w:val="20"/>
          <w:szCs w:val="20"/>
        </w:rPr>
        <w:t xml:space="preserve"> : adhésion, recouvrement des cotisations et droits d’adhésion, gestion des demandes de prise en charge, suivi du portefeuille de risques, comptabilité, gestion budgétaire et de trésorerie.</w:t>
      </w:r>
    </w:p>
    <w:p w:rsidR="009011E4" w:rsidRDefault="00B616DD" w:rsidP="00B616DD">
      <w:pPr>
        <w:spacing w:after="0" w:line="240" w:lineRule="auto"/>
        <w:jc w:val="both"/>
        <w:rPr>
          <w:rFonts w:ascii="Palatino Linotype" w:hAnsi="Palatino Linotype" w:cs="Times New Roman"/>
          <w:sz w:val="20"/>
          <w:szCs w:val="20"/>
        </w:rPr>
      </w:pPr>
      <w:r w:rsidRPr="003D74BD">
        <w:rPr>
          <w:rFonts w:ascii="Palatino Linotype" w:hAnsi="Palatino Linotype" w:cs="Times New Roman"/>
          <w:bCs/>
          <w:sz w:val="20"/>
          <w:szCs w:val="20"/>
        </w:rPr>
        <w:t>Viabilité technique</w:t>
      </w:r>
      <w:r w:rsidRPr="00B616DD">
        <w:rPr>
          <w:rFonts w:ascii="Palatino Linotype" w:hAnsi="Palatino Linotype" w:cs="Times New Roman"/>
          <w:sz w:val="20"/>
          <w:szCs w:val="20"/>
        </w:rPr>
        <w:t xml:space="preserve"> : modalités d’adhésion, qualité du portefeuille de risques.</w:t>
      </w:r>
      <w:r w:rsidR="009011E4">
        <w:rPr>
          <w:rFonts w:ascii="Palatino Linotype" w:hAnsi="Palatino Linotype" w:cs="Times New Roman"/>
          <w:sz w:val="20"/>
          <w:szCs w:val="20"/>
        </w:rPr>
        <w:t xml:space="preserve"> </w:t>
      </w:r>
    </w:p>
    <w:p w:rsidR="00B616DD" w:rsidRPr="00B616DD" w:rsidRDefault="00B616DD" w:rsidP="00B616DD">
      <w:pPr>
        <w:spacing w:after="0" w:line="240" w:lineRule="auto"/>
        <w:jc w:val="both"/>
        <w:rPr>
          <w:rFonts w:ascii="Palatino Linotype" w:hAnsi="Palatino Linotype" w:cs="Times New Roman"/>
          <w:sz w:val="20"/>
          <w:szCs w:val="20"/>
        </w:rPr>
      </w:pPr>
      <w:r w:rsidRPr="003D74BD">
        <w:rPr>
          <w:rFonts w:ascii="Palatino Linotype" w:hAnsi="Palatino Linotype" w:cs="Times New Roman"/>
          <w:bCs/>
          <w:sz w:val="20"/>
          <w:szCs w:val="20"/>
        </w:rPr>
        <w:t>Viabilité fonctionnelle</w:t>
      </w:r>
      <w:r w:rsidRPr="00B616DD">
        <w:rPr>
          <w:rFonts w:ascii="Palatino Linotype" w:hAnsi="Palatino Linotype" w:cs="Times New Roman"/>
          <w:sz w:val="20"/>
          <w:szCs w:val="20"/>
        </w:rPr>
        <w:t xml:space="preserve"> : taux de croissance brute, taux de fidélisation, taux de croissance interne et externe, taux de </w:t>
      </w:r>
      <w:r w:rsidRPr="00B616DD">
        <w:rPr>
          <w:rFonts w:ascii="Palatino Linotype" w:hAnsi="Palatino Linotype" w:cs="Times New Roman"/>
          <w:sz w:val="20"/>
          <w:szCs w:val="20"/>
        </w:rPr>
        <w:lastRenderedPageBreak/>
        <w:t>pénétration, taux de recouvrement, délais de remboursement des adhérents ou de paiement des prestataires.</w:t>
      </w:r>
      <w:r w:rsidR="009011E4">
        <w:rPr>
          <w:rFonts w:ascii="Palatino Linotype" w:hAnsi="Palatino Linotype" w:cs="Times New Roman"/>
          <w:sz w:val="20"/>
          <w:szCs w:val="20"/>
        </w:rPr>
        <w:t xml:space="preserve"> </w:t>
      </w:r>
    </w:p>
    <w:p w:rsidR="00B616DD" w:rsidRPr="00B616DD" w:rsidRDefault="00B616DD" w:rsidP="00B616DD">
      <w:pPr>
        <w:spacing w:after="0" w:line="240" w:lineRule="auto"/>
        <w:jc w:val="both"/>
        <w:rPr>
          <w:rFonts w:ascii="Palatino Linotype" w:hAnsi="Palatino Linotype" w:cs="Times New Roman"/>
          <w:sz w:val="20"/>
          <w:szCs w:val="20"/>
        </w:rPr>
      </w:pPr>
      <w:r w:rsidRPr="003D74BD">
        <w:rPr>
          <w:rFonts w:ascii="Palatino Linotype" w:hAnsi="Palatino Linotype" w:cs="Times New Roman"/>
          <w:bCs/>
          <w:sz w:val="20"/>
          <w:szCs w:val="20"/>
        </w:rPr>
        <w:t>Viabilité financière et économique</w:t>
      </w:r>
      <w:r w:rsidRPr="00B616DD">
        <w:rPr>
          <w:rFonts w:ascii="Palatino Linotype" w:hAnsi="Palatino Linotype" w:cs="Times New Roman"/>
          <w:sz w:val="20"/>
          <w:szCs w:val="20"/>
        </w:rPr>
        <w:t xml:space="preserve"> : ratios de liquidité immédiate, capitaux propres, couverture des charges, cotisations acquises/charges, sinistralité, frais de fonctionnement, financement propre, ratio des cotisations acquises.</w:t>
      </w:r>
      <w:r w:rsidR="009011E4">
        <w:rPr>
          <w:rFonts w:ascii="Palatino Linotype" w:hAnsi="Palatino Linotype" w:cs="Times New Roman"/>
          <w:sz w:val="20"/>
          <w:szCs w:val="20"/>
        </w:rPr>
        <w:t xml:space="preserve"> </w:t>
      </w:r>
      <w:r w:rsidRPr="00B616DD">
        <w:rPr>
          <w:rFonts w:ascii="Palatino Linotype" w:hAnsi="Palatino Linotype" w:cs="Times New Roman"/>
          <w:sz w:val="20"/>
          <w:szCs w:val="20"/>
        </w:rPr>
        <w:t>Chaque indicateur a été construit par addition arithmétique simple des éléments qui le composent, chaque élément étant noté sur un point.</w:t>
      </w:r>
    </w:p>
    <w:p w:rsidR="00B616DD" w:rsidRPr="00B616DD" w:rsidRDefault="00B616DD" w:rsidP="003D74BD">
      <w:pPr>
        <w:spacing w:before="240" w:after="0"/>
        <w:jc w:val="both"/>
        <w:rPr>
          <w:rFonts w:ascii="Palatino Linotype" w:hAnsi="Palatino Linotype" w:cs="Times New Roman"/>
          <w:sz w:val="20"/>
          <w:szCs w:val="20"/>
        </w:rPr>
      </w:pPr>
      <w:r w:rsidRPr="00B616DD">
        <w:rPr>
          <w:rFonts w:ascii="Palatino Linotype" w:hAnsi="Palatino Linotype"/>
          <w:b/>
          <w:bCs/>
          <w:sz w:val="20"/>
          <w:szCs w:val="20"/>
        </w:rPr>
        <w:t xml:space="preserve">Analyse des </w:t>
      </w:r>
      <w:r w:rsidRPr="003D74BD">
        <w:rPr>
          <w:rFonts w:ascii="Palatino Linotype" w:hAnsi="Palatino Linotype" w:cs="Times New Roman"/>
          <w:b/>
          <w:sz w:val="20"/>
          <w:szCs w:val="20"/>
        </w:rPr>
        <w:t>données</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Les données ont été analysées à l’aide du logiciel SPSS (</w:t>
      </w:r>
      <w:proofErr w:type="spellStart"/>
      <w:r w:rsidRPr="00B616DD">
        <w:rPr>
          <w:rFonts w:ascii="Palatino Linotype" w:hAnsi="Palatino Linotype" w:cs="Times New Roman"/>
          <w:sz w:val="20"/>
          <w:szCs w:val="20"/>
        </w:rPr>
        <w:t>Statistical</w:t>
      </w:r>
      <w:proofErr w:type="spellEnd"/>
      <w:r w:rsidRPr="00B616DD">
        <w:rPr>
          <w:rFonts w:ascii="Palatino Linotype" w:hAnsi="Palatino Linotype" w:cs="Times New Roman"/>
          <w:sz w:val="20"/>
          <w:szCs w:val="20"/>
        </w:rPr>
        <w:t xml:space="preserve"> Package for the Social Sciences), version 23. Les variables quantitatives ont été décrites à l’aide de moyennes, fréquences absolues et proportions. Les comparaisons de proportions ont été réalisées à l’aide du test de chi carré de Pearson ou du test exact de Fisher, selon les effectifs observés.</w:t>
      </w:r>
    </w:p>
    <w:p w:rsidR="00B616DD" w:rsidRPr="00B616DD" w:rsidRDefault="00B616DD" w:rsidP="003D74BD">
      <w:pPr>
        <w:spacing w:before="240" w:after="0"/>
        <w:jc w:val="both"/>
        <w:rPr>
          <w:rFonts w:ascii="Palatino Linotype" w:hAnsi="Palatino Linotype" w:cs="Times New Roman"/>
          <w:sz w:val="20"/>
          <w:szCs w:val="20"/>
        </w:rPr>
      </w:pPr>
      <w:r w:rsidRPr="003D74BD">
        <w:rPr>
          <w:rFonts w:ascii="Palatino Linotype" w:hAnsi="Palatino Linotype" w:cs="Times New Roman"/>
          <w:b/>
          <w:sz w:val="20"/>
          <w:szCs w:val="20"/>
        </w:rPr>
        <w:t>Considérations</w:t>
      </w:r>
      <w:r w:rsidRPr="00B616DD">
        <w:rPr>
          <w:rFonts w:ascii="Palatino Linotype" w:hAnsi="Palatino Linotype"/>
          <w:b/>
          <w:bCs/>
          <w:sz w:val="20"/>
          <w:szCs w:val="20"/>
        </w:rPr>
        <w:t xml:space="preserve"> éthiques</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Cette étude a été conduite conformément à un protocole validé par le comité d’éthique de l’Université de Goma (N° d’approbation : UNIGOM/CEM/008/2023). Le consentement éclairé a été obtenu auprès des responsables des mutuelles. L’anonymat et la confidentialité des données ont été rigoureusement respectés tout au long du processus de recherche.</w:t>
      </w:r>
    </w:p>
    <w:p w:rsidR="00B616DD" w:rsidRPr="00B616DD" w:rsidRDefault="00B616DD" w:rsidP="003D74BD">
      <w:pPr>
        <w:spacing w:before="240" w:after="0"/>
        <w:jc w:val="both"/>
        <w:rPr>
          <w:rFonts w:ascii="Palatino Linotype" w:hAnsi="Palatino Linotype" w:cs="Times New Roman"/>
          <w:sz w:val="20"/>
          <w:szCs w:val="20"/>
        </w:rPr>
      </w:pPr>
      <w:r w:rsidRPr="00B616DD">
        <w:rPr>
          <w:rFonts w:ascii="Palatino Linotype" w:hAnsi="Palatino Linotype" w:cs="Times New Roman"/>
          <w:sz w:val="20"/>
          <w:szCs w:val="20"/>
        </w:rPr>
        <w:t xml:space="preserve"> </w:t>
      </w:r>
      <w:r w:rsidRPr="003D74BD">
        <w:rPr>
          <w:rFonts w:ascii="Palatino Linotype" w:hAnsi="Palatino Linotype" w:cs="Times New Roman"/>
          <w:b/>
          <w:sz w:val="20"/>
          <w:szCs w:val="20"/>
        </w:rPr>
        <w:t>Résultats</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Caractéristiques des mutuelles de santé :  Paramètres en rapport avec l’ancienneté et le nombre des bénéficiaires de la mutuelle par Zone de santé</w:t>
      </w:r>
      <w:bookmarkStart w:id="0" w:name="_Toc208237578"/>
      <w:r w:rsidRPr="00B616DD">
        <w:rPr>
          <w:rFonts w:ascii="Palatino Linotype" w:hAnsi="Palatino Linotype" w:cs="Times New Roman"/>
          <w:sz w:val="20"/>
          <w:szCs w:val="20"/>
        </w:rPr>
        <w:t xml:space="preserve"> </w:t>
      </w:r>
      <w:bookmarkEnd w:id="0"/>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Au total, quatre mutuelles ont été enquêtées, dont 75 % étaient localisées dans la zone de santé de Goma. L’ancienneté moyenne des mutuelles était de sept ans. L’ancienneté ainsi que le nombre de bénéficiaires ne présentaient pas de différence significative selon</w:t>
      </w:r>
      <w:r w:rsidR="00C37303">
        <w:rPr>
          <w:rFonts w:ascii="Palatino Linotype" w:hAnsi="Palatino Linotype" w:cs="Times New Roman"/>
          <w:sz w:val="20"/>
          <w:szCs w:val="20"/>
        </w:rPr>
        <w:t xml:space="preserve"> les zones de santé (p = 0,500) (Tableau I)</w:t>
      </w:r>
    </w:p>
    <w:p w:rsidR="00B616DD" w:rsidRPr="003D74BD" w:rsidRDefault="00B616DD" w:rsidP="003D74BD">
      <w:pPr>
        <w:spacing w:before="240" w:after="0"/>
        <w:jc w:val="both"/>
        <w:rPr>
          <w:rFonts w:ascii="Palatino Linotype" w:hAnsi="Palatino Linotype" w:cs="Times New Roman"/>
          <w:b/>
          <w:sz w:val="20"/>
          <w:szCs w:val="20"/>
        </w:rPr>
      </w:pPr>
      <w:r w:rsidRPr="003D74BD">
        <w:rPr>
          <w:rFonts w:ascii="Palatino Linotype" w:hAnsi="Palatino Linotype" w:cs="Times New Roman"/>
          <w:b/>
          <w:sz w:val="20"/>
          <w:szCs w:val="20"/>
        </w:rPr>
        <w:t>Paramètres en rapport avec la viabilité institutionnelle</w:t>
      </w:r>
    </w:p>
    <w:p w:rsidR="00282040"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Les scores institutionnels calculés variaient de 3,6 à 6,6 avec une moyenne de 4,8. </w:t>
      </w:r>
      <w:r w:rsidR="00E47DB2">
        <w:rPr>
          <w:rFonts w:ascii="Palatino Linotype" w:hAnsi="Palatino Linotype" w:cs="Times New Roman"/>
          <w:sz w:val="20"/>
          <w:szCs w:val="20"/>
        </w:rPr>
        <w:t>En</w:t>
      </w:r>
      <w:r w:rsidRPr="00B616DD">
        <w:rPr>
          <w:rFonts w:ascii="Palatino Linotype" w:hAnsi="Palatino Linotype" w:cs="Times New Roman"/>
          <w:sz w:val="20"/>
          <w:szCs w:val="20"/>
        </w:rPr>
        <w:t xml:space="preserve"> générale, les mutuelles évaluées ne sont pas viables sur le plan institutionnel, avec un score global moyen de 68,5 %, inférieur au seuil de viabilité fixé à 90 %. Une seule mutuelle atteignait ce seuil, avec un score de 94,2 %, représentant la cote la plus élevée observée. </w:t>
      </w:r>
    </w:p>
    <w:p w:rsidR="00B616DD" w:rsidRPr="00B616DD" w:rsidRDefault="00B616DD" w:rsidP="00B616DD">
      <w:pPr>
        <w:spacing w:after="0" w:line="240" w:lineRule="auto"/>
        <w:jc w:val="both"/>
        <w:rPr>
          <w:rFonts w:ascii="Palatino Linotype" w:hAnsi="Palatino Linotype" w:cs="Times New Roman"/>
          <w:sz w:val="20"/>
          <w:szCs w:val="20"/>
        </w:rPr>
      </w:pPr>
      <w:bookmarkStart w:id="1" w:name="_GoBack"/>
      <w:bookmarkEnd w:id="1"/>
      <w:r w:rsidRPr="00B616DD">
        <w:rPr>
          <w:rFonts w:ascii="Palatino Linotype" w:hAnsi="Palatino Linotype" w:cs="Times New Roman"/>
          <w:sz w:val="20"/>
          <w:szCs w:val="20"/>
        </w:rPr>
        <w:t>Les scores moyens les plus faibles ont été enregistrés pour les indicateurs suivants : l’existence d’un document légal autorisant le fonctionnement (moyenne : 0,3), l’affiliation à une ass</w:t>
      </w:r>
      <w:r w:rsidR="00E47DB2">
        <w:rPr>
          <w:rFonts w:ascii="Palatino Linotype" w:hAnsi="Palatino Linotype" w:cs="Times New Roman"/>
          <w:sz w:val="20"/>
          <w:szCs w:val="20"/>
        </w:rPr>
        <w:t>ociation de mutuelles (moyenne=</w:t>
      </w:r>
      <w:r w:rsidRPr="00B616DD">
        <w:rPr>
          <w:rFonts w:ascii="Palatino Linotype" w:hAnsi="Palatino Linotype" w:cs="Times New Roman"/>
          <w:sz w:val="20"/>
          <w:szCs w:val="20"/>
        </w:rPr>
        <w:t xml:space="preserve">0,25) et la </w:t>
      </w:r>
      <w:r w:rsidRPr="00B616DD">
        <w:rPr>
          <w:rFonts w:ascii="Palatino Linotype" w:hAnsi="Palatino Linotype" w:cs="Times New Roman"/>
          <w:sz w:val="20"/>
          <w:szCs w:val="20"/>
        </w:rPr>
        <w:lastRenderedPageBreak/>
        <w:t>présence d’une étude de faisabilité (moyenne : 0,5).</w:t>
      </w:r>
      <w:r w:rsidR="00E47DB2">
        <w:rPr>
          <w:rFonts w:ascii="Palatino Linotype" w:hAnsi="Palatino Linotype" w:cs="Times New Roman"/>
          <w:sz w:val="20"/>
          <w:szCs w:val="20"/>
        </w:rPr>
        <w:t xml:space="preserve"> (Tableau II)</w:t>
      </w:r>
    </w:p>
    <w:p w:rsidR="00B616DD" w:rsidRPr="003D74BD" w:rsidRDefault="00B616DD" w:rsidP="003D74BD">
      <w:pPr>
        <w:spacing w:before="240" w:after="0"/>
        <w:jc w:val="both"/>
        <w:rPr>
          <w:rFonts w:ascii="Palatino Linotype" w:hAnsi="Palatino Linotype" w:cs="Times New Roman"/>
          <w:b/>
          <w:sz w:val="20"/>
          <w:szCs w:val="20"/>
        </w:rPr>
      </w:pPr>
      <w:r w:rsidRPr="003D74BD">
        <w:rPr>
          <w:rFonts w:ascii="Palatino Linotype" w:hAnsi="Palatino Linotype" w:cs="Times New Roman"/>
          <w:b/>
          <w:sz w:val="20"/>
          <w:szCs w:val="20"/>
        </w:rPr>
        <w:t>Paramètres en rapport avec la viabilité administrative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Les scores administratifs observés variaient de 2,3 à 6,5, avec une moyenne de 4,07. Globalement, les mutuelles évaluées ne sont pas viables sur le plan administratif, avec un score moyen de 56,57 %, inférieur au seuil de viabilité fixé à 80 %. Une seule mutuelle a été jugée viable, atteignant le score le plus élevé de 81,2 %. Les scores moyens les plus faibles ont été enregistrés pour les indicateurs suivants : le contrôle des droits aux prestations (moyenne : 0,47), le suivi des prises en charge (moyenne : 0,47) et le suivi du portefeuille de risques, incluant les risques de sélection adverse, de </w:t>
      </w:r>
      <w:proofErr w:type="spellStart"/>
      <w:r w:rsidRPr="00B616DD">
        <w:rPr>
          <w:rFonts w:ascii="Palatino Linotype" w:hAnsi="Palatino Linotype" w:cs="Times New Roman"/>
          <w:sz w:val="20"/>
          <w:szCs w:val="20"/>
        </w:rPr>
        <w:t>surpres</w:t>
      </w:r>
      <w:r w:rsidR="00E47DB2">
        <w:rPr>
          <w:rFonts w:ascii="Palatino Linotype" w:hAnsi="Palatino Linotype" w:cs="Times New Roman"/>
          <w:sz w:val="20"/>
          <w:szCs w:val="20"/>
        </w:rPr>
        <w:t>cription</w:t>
      </w:r>
      <w:proofErr w:type="spellEnd"/>
      <w:r w:rsidR="00E47DB2">
        <w:rPr>
          <w:rFonts w:ascii="Palatino Linotype" w:hAnsi="Palatino Linotype" w:cs="Times New Roman"/>
          <w:sz w:val="20"/>
          <w:szCs w:val="20"/>
        </w:rPr>
        <w:t xml:space="preserve"> et de surconsommation soit une moyenne : 0,37</w:t>
      </w:r>
      <w:r w:rsidRPr="00B616DD">
        <w:rPr>
          <w:rFonts w:ascii="Palatino Linotype" w:hAnsi="Palatino Linotype" w:cs="Times New Roman"/>
          <w:sz w:val="20"/>
          <w:szCs w:val="20"/>
        </w:rPr>
        <w:t>.</w:t>
      </w:r>
      <w:r w:rsidR="00E47DB2">
        <w:rPr>
          <w:rFonts w:ascii="Palatino Linotype" w:hAnsi="Palatino Linotype" w:cs="Times New Roman"/>
          <w:sz w:val="20"/>
          <w:szCs w:val="20"/>
        </w:rPr>
        <w:t xml:space="preserve"> (Tableau III)</w:t>
      </w:r>
    </w:p>
    <w:p w:rsidR="00B616DD" w:rsidRPr="00107836" w:rsidRDefault="00B616DD" w:rsidP="00107836">
      <w:pPr>
        <w:spacing w:before="240" w:after="0"/>
        <w:jc w:val="both"/>
        <w:rPr>
          <w:rFonts w:ascii="Palatino Linotype" w:hAnsi="Palatino Linotype" w:cs="Times New Roman"/>
          <w:b/>
          <w:sz w:val="20"/>
          <w:szCs w:val="20"/>
        </w:rPr>
      </w:pPr>
      <w:r w:rsidRPr="00107836">
        <w:rPr>
          <w:rFonts w:ascii="Palatino Linotype" w:hAnsi="Palatino Linotype" w:cs="Times New Roman"/>
          <w:b/>
          <w:sz w:val="20"/>
          <w:szCs w:val="20"/>
        </w:rPr>
        <w:t>Paramètres en rapport avec la viabilité technique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Les scores techniques obtenus variaient de 0,5 à 1,6, avec une moyenne de 1,02. De manière générale, les mutuelles évaluées ne sont pas viables sur le plan technique, affichant une cote globale moyenne de 56,57 %, inférieure au seuil de viabilité fixé à 80 %. Cette faible performance technique expose les mutuelles à des risques importants, notamment la sélection adverse, la surconsommation et la </w:t>
      </w:r>
      <w:proofErr w:type="spellStart"/>
      <w:r w:rsidRPr="00B616DD">
        <w:rPr>
          <w:rFonts w:ascii="Palatino Linotype" w:hAnsi="Palatino Linotype" w:cs="Times New Roman"/>
          <w:sz w:val="20"/>
          <w:szCs w:val="20"/>
        </w:rPr>
        <w:t>surprescription</w:t>
      </w:r>
      <w:proofErr w:type="spellEnd"/>
      <w:r w:rsidRPr="00B616DD">
        <w:rPr>
          <w:rFonts w:ascii="Palatino Linotype" w:hAnsi="Palatino Linotype" w:cs="Times New Roman"/>
          <w:sz w:val="20"/>
          <w:szCs w:val="20"/>
        </w:rPr>
        <w:t xml:space="preserve">. Les scores les plus bas ont été observés pour les indicateurs suivants : la qualité du portefeuille de risques (notamment la surconsommation et la </w:t>
      </w:r>
      <w:proofErr w:type="spellStart"/>
      <w:r w:rsidRPr="00B616DD">
        <w:rPr>
          <w:rFonts w:ascii="Palatino Linotype" w:hAnsi="Palatino Linotype" w:cs="Times New Roman"/>
          <w:sz w:val="20"/>
          <w:szCs w:val="20"/>
        </w:rPr>
        <w:t>surprescription</w:t>
      </w:r>
      <w:proofErr w:type="spellEnd"/>
      <w:r w:rsidRPr="00B616DD">
        <w:rPr>
          <w:rFonts w:ascii="Palatino Linotype" w:hAnsi="Palatino Linotype" w:cs="Times New Roman"/>
          <w:sz w:val="20"/>
          <w:szCs w:val="20"/>
        </w:rPr>
        <w:t>), avec une moyenne de 0,37 ; l’évolution des coûts moyens des prestations prises en charge, avec une moyenne de 0 ; et la comparaison des coûts moyens des services entre bénéficiaires et non-bénéficiaires, également avec une moyenne de 0.</w:t>
      </w:r>
      <w:r w:rsidR="00054B56">
        <w:rPr>
          <w:rFonts w:ascii="Palatino Linotype" w:hAnsi="Palatino Linotype" w:cs="Times New Roman"/>
          <w:sz w:val="20"/>
          <w:szCs w:val="20"/>
        </w:rPr>
        <w:t xml:space="preserve"> (Tableau IV)</w:t>
      </w:r>
    </w:p>
    <w:p w:rsidR="00B616DD" w:rsidRPr="00107836" w:rsidRDefault="00B616DD" w:rsidP="00107836">
      <w:pPr>
        <w:spacing w:before="240" w:after="0"/>
        <w:jc w:val="both"/>
        <w:rPr>
          <w:rFonts w:ascii="Palatino Linotype" w:hAnsi="Palatino Linotype" w:cs="Times New Roman"/>
          <w:b/>
          <w:sz w:val="20"/>
          <w:szCs w:val="20"/>
        </w:rPr>
      </w:pPr>
      <w:r w:rsidRPr="00107836">
        <w:rPr>
          <w:rFonts w:ascii="Palatino Linotype" w:hAnsi="Palatino Linotype" w:cs="Times New Roman"/>
          <w:b/>
          <w:sz w:val="20"/>
          <w:szCs w:val="20"/>
        </w:rPr>
        <w:t>Paramètres en rapport avec la viabilité fonctionnelle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Les scores fonctionnels calculés variaient de 3 à 5, avec une moyenne de 4. Globalement, les mutuelles évaluées ne sont pas viables sur le plan fonctionnel, avec un score moyen de 66,65 %, inférieur au seuil de viabilité fixé à 80 %. Deux mutuelles seulement ont été jugées viables, atteignant un score maximal de 83,3 %. Les scores les plus faibles ont été observés pour les indicateurs suivants : le taux de pénétration (moyenne : 0), le taux de recouvrement (moyenne : 0,5), et le délai moyen de paiement des prestataires ou </w:t>
      </w:r>
      <w:r w:rsidR="007B51A1">
        <w:rPr>
          <w:rFonts w:ascii="Palatino Linotype" w:hAnsi="Palatino Linotype" w:cs="Times New Roman"/>
          <w:sz w:val="20"/>
          <w:szCs w:val="20"/>
        </w:rPr>
        <w:t xml:space="preserve">de remboursement des adhérents soit une </w:t>
      </w:r>
      <w:r w:rsidR="0046204E">
        <w:rPr>
          <w:rFonts w:ascii="Palatino Linotype" w:hAnsi="Palatino Linotype" w:cs="Times New Roman"/>
          <w:sz w:val="20"/>
          <w:szCs w:val="20"/>
        </w:rPr>
        <w:t>moyenne de</w:t>
      </w:r>
      <w:r w:rsidR="007B51A1">
        <w:rPr>
          <w:rFonts w:ascii="Palatino Linotype" w:hAnsi="Palatino Linotype" w:cs="Times New Roman"/>
          <w:sz w:val="20"/>
          <w:szCs w:val="20"/>
        </w:rPr>
        <w:t xml:space="preserve"> 0,5</w:t>
      </w:r>
      <w:r w:rsidRPr="00B616DD">
        <w:rPr>
          <w:rFonts w:ascii="Palatino Linotype" w:hAnsi="Palatino Linotype" w:cs="Times New Roman"/>
          <w:sz w:val="20"/>
          <w:szCs w:val="20"/>
        </w:rPr>
        <w:t>.</w:t>
      </w:r>
      <w:r w:rsidR="007B51A1">
        <w:rPr>
          <w:rFonts w:ascii="Palatino Linotype" w:hAnsi="Palatino Linotype" w:cs="Times New Roman"/>
          <w:sz w:val="20"/>
          <w:szCs w:val="20"/>
        </w:rPr>
        <w:t xml:space="preserve"> (Tableau V)</w:t>
      </w:r>
    </w:p>
    <w:p w:rsidR="00B616DD" w:rsidRPr="00B616DD" w:rsidRDefault="00B616DD" w:rsidP="00743589">
      <w:pPr>
        <w:spacing w:before="240" w:after="0"/>
        <w:jc w:val="both"/>
        <w:rPr>
          <w:rFonts w:ascii="Palatino Linotype" w:hAnsi="Palatino Linotype" w:cs="Times New Roman"/>
          <w:sz w:val="20"/>
          <w:szCs w:val="20"/>
        </w:rPr>
      </w:pPr>
      <w:r w:rsidRPr="00743589">
        <w:rPr>
          <w:rFonts w:ascii="Palatino Linotype" w:hAnsi="Palatino Linotype" w:cs="Times New Roman"/>
          <w:b/>
          <w:sz w:val="20"/>
          <w:szCs w:val="20"/>
        </w:rPr>
        <w:t>Paramètres en rapport avec la viabilité financière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Les scores financiers observés variaient de 2 à 4, avec une moyenne de 2,5. De manière générale, les mutuelles évaluées ne sont pas viables sur le plan financier, avec une cote globale moyenne de 41,62 %, nettement inférieure au </w:t>
      </w:r>
      <w:r w:rsidRPr="00B616DD">
        <w:rPr>
          <w:rFonts w:ascii="Palatino Linotype" w:hAnsi="Palatino Linotype" w:cs="Times New Roman"/>
          <w:sz w:val="20"/>
          <w:szCs w:val="20"/>
        </w:rPr>
        <w:lastRenderedPageBreak/>
        <w:t>seuil de viabilité fixé à 80 %. Les scores les plus faibles ont été enregistrés pour les indicateurs suivants : l</w:t>
      </w:r>
      <w:r w:rsidR="0046204E">
        <w:rPr>
          <w:rFonts w:ascii="Palatino Linotype" w:hAnsi="Palatino Linotype" w:cs="Times New Roman"/>
          <w:sz w:val="20"/>
          <w:szCs w:val="20"/>
        </w:rPr>
        <w:t xml:space="preserve">e ratio de liquidité immédiate soit une moyenne de </w:t>
      </w:r>
      <w:r w:rsidRPr="00B616DD">
        <w:rPr>
          <w:rFonts w:ascii="Palatino Linotype" w:hAnsi="Palatino Linotype" w:cs="Times New Roman"/>
          <w:sz w:val="20"/>
          <w:szCs w:val="20"/>
        </w:rPr>
        <w:t>0,2</w:t>
      </w:r>
      <w:r w:rsidR="0095622B">
        <w:rPr>
          <w:rFonts w:ascii="Palatino Linotype" w:hAnsi="Palatino Linotype" w:cs="Times New Roman"/>
          <w:sz w:val="20"/>
          <w:szCs w:val="20"/>
        </w:rPr>
        <w:t>5</w:t>
      </w:r>
      <w:r w:rsidRPr="00B616DD">
        <w:rPr>
          <w:rFonts w:ascii="Palatino Linotype" w:hAnsi="Palatino Linotype" w:cs="Times New Roman"/>
          <w:sz w:val="20"/>
          <w:szCs w:val="20"/>
        </w:rPr>
        <w:t xml:space="preserve">, le ratio de couverture </w:t>
      </w:r>
      <w:r w:rsidR="0095622B">
        <w:rPr>
          <w:rFonts w:ascii="Palatino Linotype" w:hAnsi="Palatino Linotype" w:cs="Times New Roman"/>
          <w:sz w:val="20"/>
          <w:szCs w:val="20"/>
        </w:rPr>
        <w:t>des charges ou taux de réserve soit une moyenne de 0,25</w:t>
      </w:r>
      <w:r w:rsidRPr="00B616DD">
        <w:rPr>
          <w:rFonts w:ascii="Palatino Linotype" w:hAnsi="Palatino Linotype" w:cs="Times New Roman"/>
          <w:sz w:val="20"/>
          <w:szCs w:val="20"/>
        </w:rPr>
        <w:t>, et le ratio de</w:t>
      </w:r>
      <w:r w:rsidR="0095622B">
        <w:rPr>
          <w:rFonts w:ascii="Palatino Linotype" w:hAnsi="Palatino Linotype" w:cs="Times New Roman"/>
          <w:sz w:val="20"/>
          <w:szCs w:val="20"/>
        </w:rPr>
        <w:t xml:space="preserve">s frais de fonctionnement brut soit une moyenne de </w:t>
      </w:r>
      <w:r w:rsidRPr="00B616DD">
        <w:rPr>
          <w:rFonts w:ascii="Palatino Linotype" w:hAnsi="Palatino Linotype" w:cs="Times New Roman"/>
          <w:sz w:val="20"/>
          <w:szCs w:val="20"/>
        </w:rPr>
        <w:t>0.</w:t>
      </w:r>
      <w:r w:rsidR="0095622B">
        <w:rPr>
          <w:rFonts w:ascii="Palatino Linotype" w:hAnsi="Palatino Linotype" w:cs="Times New Roman"/>
          <w:sz w:val="20"/>
          <w:szCs w:val="20"/>
        </w:rPr>
        <w:t xml:space="preserve"> (Tableau VI)</w:t>
      </w:r>
    </w:p>
    <w:p w:rsidR="00B616DD" w:rsidRPr="00AA3D0E" w:rsidRDefault="00B616DD" w:rsidP="00AA3D0E">
      <w:pPr>
        <w:spacing w:before="240" w:after="0"/>
        <w:jc w:val="both"/>
        <w:rPr>
          <w:rFonts w:ascii="Palatino Linotype" w:hAnsi="Palatino Linotype" w:cs="Times New Roman"/>
          <w:b/>
          <w:sz w:val="20"/>
          <w:szCs w:val="20"/>
        </w:rPr>
      </w:pPr>
      <w:r w:rsidRPr="00AA3D0E">
        <w:rPr>
          <w:rFonts w:ascii="Palatino Linotype" w:hAnsi="Palatino Linotype" w:cs="Times New Roman"/>
          <w:b/>
          <w:sz w:val="20"/>
          <w:szCs w:val="20"/>
        </w:rPr>
        <w:t>Discussion</w:t>
      </w:r>
    </w:p>
    <w:p w:rsidR="00B616DD" w:rsidRPr="00B616DD" w:rsidRDefault="00B616DD" w:rsidP="00114030">
      <w:pPr>
        <w:spacing w:after="0" w:line="240" w:lineRule="auto"/>
        <w:jc w:val="both"/>
        <w:rPr>
          <w:rFonts w:ascii="Palatino Linotype" w:hAnsi="Palatino Linotype" w:cs="Times New Roman"/>
          <w:sz w:val="20"/>
          <w:szCs w:val="20"/>
        </w:rPr>
      </w:pPr>
      <w:r w:rsidRPr="00AA3D0E">
        <w:rPr>
          <w:rFonts w:ascii="Palatino Linotype" w:hAnsi="Palatino Linotype" w:cs="Times New Roman"/>
          <w:bCs/>
          <w:sz w:val="20"/>
          <w:szCs w:val="20"/>
        </w:rPr>
        <w:t>Cette étude avait pour objectif d’évaluer la viabilité des mutuelles de santé dans la ville de Goma, à l’Est de la RDC.</w:t>
      </w:r>
      <w:r w:rsidRPr="00B616DD">
        <w:rPr>
          <w:rFonts w:ascii="Palatino Linotype" w:hAnsi="Palatino Linotype" w:cs="Times New Roman"/>
          <w:sz w:val="20"/>
          <w:szCs w:val="20"/>
        </w:rPr>
        <w:br/>
        <w:t>Les résultats mettent en évidence des cotes globales inférieures aux seuils de viabilité sur plusieurs critères, indiquant des faiblesses dans leur fonctionnement.</w:t>
      </w:r>
      <w:r w:rsidR="00AA3D0E">
        <w:rPr>
          <w:rFonts w:ascii="Palatino Linotype" w:hAnsi="Palatino Linotype" w:cs="Times New Roman"/>
          <w:sz w:val="20"/>
          <w:szCs w:val="20"/>
        </w:rPr>
        <w:t xml:space="preserve"> </w:t>
      </w:r>
      <w:r w:rsidRPr="00B616DD">
        <w:rPr>
          <w:rFonts w:ascii="Palatino Linotype" w:hAnsi="Palatino Linotype" w:cs="Times New Roman"/>
          <w:sz w:val="20"/>
          <w:szCs w:val="20"/>
        </w:rPr>
        <w:t>La principale limite de cette étude réside dans l’absence de certains outils standardisés de suivi dans certaines mutuelles.</w:t>
      </w:r>
      <w:r w:rsidR="00AA3D0E">
        <w:rPr>
          <w:rFonts w:ascii="Palatino Linotype" w:hAnsi="Palatino Linotype" w:cs="Times New Roman"/>
          <w:sz w:val="20"/>
          <w:szCs w:val="20"/>
        </w:rPr>
        <w:t xml:space="preserve"> </w:t>
      </w:r>
      <w:r w:rsidRPr="00B616DD">
        <w:rPr>
          <w:rFonts w:ascii="Palatino Linotype" w:hAnsi="Palatino Linotype" w:cs="Times New Roman"/>
          <w:sz w:val="20"/>
          <w:szCs w:val="20"/>
        </w:rPr>
        <w:t>Malgré cette contrainte, les résultats fournissent des orientations utiles pour les décideurs concernant la viabilité des mutuelles de santé.</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Dans notre étude, les scores de viabilité institutionnelle des mutuelles varient de 3,6 à 6, avec une moyenne de 4,8 sur une échelle de 10. La cote globale est de 68,5 % (inférieure au seuil de 90 % généralement considéré comme acceptable). Seule une mutuelle atteint une cote élevée de 94,2 %, indiquant qu’une gestion institutionnelle efficace est possible, bien que rare.</w:t>
      </w:r>
      <w:r w:rsidR="00114030">
        <w:rPr>
          <w:rFonts w:ascii="Palatino Linotype" w:hAnsi="Palatino Linotype" w:cs="Times New Roman"/>
          <w:sz w:val="20"/>
          <w:szCs w:val="20"/>
        </w:rPr>
        <w:t xml:space="preserve"> </w:t>
      </w:r>
      <w:r w:rsidRPr="00B616DD">
        <w:rPr>
          <w:rFonts w:ascii="Palatino Linotype" w:hAnsi="Palatino Linotype" w:cs="Times New Roman"/>
          <w:sz w:val="20"/>
          <w:szCs w:val="20"/>
        </w:rPr>
        <w:t xml:space="preserve">Contrairement à Goma, où la formalisation institutionnelle est largement absente, à Vélingara les mutuelles disposent de structures légales complètes. Toutefois, cette formalisation ne garantit pas une viabilité fonctionnelle ou durable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{"citationItems":[{"id":"ITEM-1","itemData":{"DOI":"10.11648/j.cajph.20220802.18","author":[{"dropping-particle":"","family":"Tacko","given":"Diop Cheikh","non-dropping-particle":"","parse-names":false,"suffix":""},{"dropping-particle":"","family":"Omar","given":"Sane","non-dropping-particle":"","parse-names":false,"suffix":""},{"dropping-particle":"","family":"Mamadou","given":"Leye","non-dropping-particle":"","parse-names":false,"suffix":""},{"dropping-particle":"","family":"Mbacke","given":"Mactar","non-dropping-particle":"","parse-names":false,"suffix":""},{"dropping-particle":"","family":"Mareme","given":"Sougou Ndeye","non-dropping-particle":"","parse-names":false,"suffix":""},{"dropping-particle":"","family":"Ousseynou","given":"Ka","non-dropping-particle":"","parse-names":false,"suffix":""},{"dropping-particle":"","family":"Boubacar","given":"Gueye","non-dropping-particle":"","parse-names":false,"suffix":""},{"dropping-particle":"","family":"Gallo","given":"Sow Papa","non-dropping-particle":"","parse-names":false,"suffix":""}],"id":"ITEM-1","issue":"2","issued":{"date-parts":[["2022"]]},"page":"74-79","title":"Study of the Viability of Community-Based Mutual Health Insurances in the Department of Vélingara in 2019 in Senegal","type":"article-journal","volume":"8"},"uris":["http://www.mendeley.com/documents/?uuid=0d27c87a-3434-4606-9bbe-b47ee9c90453"]}],"mendeley":{"formattedCitation":"[15]","plainTextFormattedCitation":"[15]","previouslyFormattedCitation":"[15]"},"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[15]</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114030">
        <w:rPr>
          <w:rFonts w:ascii="Palatino Linotype" w:hAnsi="Palatino Linotype" w:cs="Times New Roman"/>
          <w:sz w:val="20"/>
          <w:szCs w:val="20"/>
        </w:rPr>
        <w:t xml:space="preserve"> </w:t>
      </w:r>
      <w:proofErr w:type="spellStart"/>
      <w:r w:rsidR="006C5215">
        <w:rPr>
          <w:rFonts w:ascii="Palatino Linotype" w:hAnsi="Palatino Linotype" w:cs="Times New Roman"/>
          <w:sz w:val="20"/>
          <w:szCs w:val="20"/>
        </w:rPr>
        <w:t>Boidin</w:t>
      </w:r>
      <w:proofErr w:type="spellEnd"/>
      <w:r w:rsidR="006C5215">
        <w:rPr>
          <w:rFonts w:ascii="Palatino Linotype" w:hAnsi="Palatino Linotype" w:cs="Times New Roman"/>
          <w:sz w:val="20"/>
          <w:szCs w:val="20"/>
        </w:rPr>
        <w:t xml:space="preserve"> en 2021</w:t>
      </w:r>
      <w:r w:rsidRPr="00B616DD">
        <w:rPr>
          <w:rFonts w:ascii="Palatino Linotype" w:hAnsi="Palatino Linotype" w:cs="Times New Roman"/>
          <w:sz w:val="20"/>
          <w:szCs w:val="20"/>
        </w:rPr>
        <w:t xml:space="preserve">, dans son étude sur les mutuelles en Afrique, souligne des faiblesses institutionnelles similaires aux nôtres, mettant en avant que de nombreuses mutuelles opèrent sans cadre légal formel ni structure institutionnelle solide, compromettant ainsi leur stabilité et efficacité. Il insiste également sur l'absence fréquente de démarches préalables, telles que des études de faisabilité ou des projections financières, exposant les mutuelles à des difficultés organisationnelles et économiques dès leur création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10.1136/bmjgh-2018-001056","ISSN":"20597908","author":[{"dropping-particle":"","family":"Ridde","given":"Valéry","non-dropping-particle":"","parse-names":false,"suffix":""},{"dropping-particle":"","family":"Antwi","given":"Abena Asomaning","non-dropping-particle":"","parse-names":false,"suffix":""},{"dropping-particle":"","family":"Boidin","given":"Bruno","non-dropping-particle":"","parse-names":false,"suffix":""},{"dropping-particle":"","family":"Chemouni","given":"Benjamin","non-dropping-particle":"","parse-names":false,"suffix":""},{"dropping-particle":"","family":"Hane","given":"Fatoumata","non-dropping-particle":"","parse-names":false,"suffix":""},{"dropping-particle":"","family":"Touré","given":"Laurence","non-dropping-particle":"","parse-names":false,"suffix":""}],"container-title":"BMJ Global Health","id":"ITEM-1","issue":"1978","issued":{"date-parts":[["2018"]]},"page":"1-4","title":"Time to abandon amateurism and volunteerism: Addressing tensions between the Alma-Ata principle of community participation and the effectiveness of community-based health insurance in Africa","type":"article-journal","volume":"3"},"uris":["http://www.mendeley.com/documents/?uuid=6dd9d8ef-c1b0-446c-abdf-9eb2e1d34428"]}],"mendeley":{"formattedCitation":"[16]","plainTextFormattedCitation":"[16]","previouslyFormattedCitation":"[16]"},"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[16]</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Ces résultats diffèrent de ceux de Diop Cheikh </w:t>
      </w:r>
      <w:proofErr w:type="spellStart"/>
      <w:r w:rsidRPr="00B616DD">
        <w:rPr>
          <w:rFonts w:ascii="Palatino Linotype" w:hAnsi="Palatino Linotype" w:cs="Times New Roman"/>
          <w:sz w:val="20"/>
          <w:szCs w:val="20"/>
        </w:rPr>
        <w:t>Tacko</w:t>
      </w:r>
      <w:proofErr w:type="spellEnd"/>
      <w:r w:rsidRPr="00B616DD">
        <w:rPr>
          <w:rFonts w:ascii="Palatino Linotype" w:hAnsi="Palatino Linotype" w:cs="Times New Roman"/>
          <w:sz w:val="20"/>
          <w:szCs w:val="20"/>
        </w:rPr>
        <w:t xml:space="preserve"> et al., qui ont montré que, sur les plans institutionnel et technique, la quasi-totalité des mutuelles présentait peu de problèmes et était viable sur ces deux dimensions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{"citationItems":[{"id":"ITEM-1","itemData":{"DOI":"10.53318/msp.v11i2.2178","ISSN":"1987-0728","abstract":"Introduction : Au Sénégal, la mutualité a bénéficié d’un soutien politique considérable des autorités du pays qui ont défini la Couverture Maladie Universelle (CMU) comme une priorité. L’objectif général de notre étude était d’évaluer la viabilité des mutuelles de santé communautaires du District Sanitaire d’Oussouye en 2018. Matériel et méthode : Dans cette étude transversale descriptive à visée évaluative, la méthode mixte avait été utilisée. La viabilité avait été évaluée dans ses dimensions institutionnelle, technique, fonctionnelle et financière. Pour la perception des populations, un entretien individuel a été réalisé avec les présidents ou représentants des mutuelles de santé, les bénéficiaires ou non et un focus avec les leaders communautaires. Résultats : La totalité des mutuelles étaient viables sur le plan institutionnel. Sur le plan technique il y’avait une maitrise des risques de sélection adverse, de sur prescription et de surconsommation. Sur le plan fonctionnel, les résultats ont pu montrer un taux positif de croissance brute pour 80% des mutuelles de santé allant de 5% à 33%, le taux de pénétration moyen était de 74% et le taux de recouvrement à 49,33%. Sur le plan financier, le ratio de couverture des charges qui mesure l’autonomie financière était inférieur à 1 pour 80% des mutuelles. Conclusion : Les mutuelles d’Oussouye et de Mlomp soit 40% étaient viables en tenant compte de l’ensemble des dimensions. Soixante pour cent (60%) des mutuelles dépendant de la subvention étatique, des actions correctrices étaient nécessaires pour une pérennisation du financement de la santé.","author":[{"dropping-particle":"","family":"Diop","given":"Cheikh Tacko","non-dropping-particle":"","parse-names":false,"suffix":""}],"container-title":"Mali Santé Publique","id":"ITEM-1","issued":{"date-parts":[["2022"]]},"page":"1-7","title":"Evaluation de la viabilité des 05 mutuelles de santé communautaires dans le district sanitaire d’Oussouye en 2018","type":"article-journal"},"uris":["http://www.mendeley.com/documents/?uuid=72b3b148-ad51-4287-aeb2-2abb68e12fe3"]}],"mendeley":{"formattedCitation":"[17]","plainTextFormattedCitation":"[17]","previouslyFormattedCitation":"[17]"},"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[17]</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L’insuffisance de la viabilité institutionnelle des mutuelles de santé traduit un défi majeur, notamment en l’absence d’une base juridique solide, d’une affiliation à des réseaux professionnels et d’une planification stratégique préalable (étude de faisabilité). Ces éléments sont cruciaux pour assurer la pérennité et la croissance des mutuelles, comme le confirment d’autres travaux. Des réformes dans ces domaines sont donc nécessaires pour renforcer leur </w:t>
      </w:r>
      <w:r w:rsidRPr="00B616DD">
        <w:rPr>
          <w:rFonts w:ascii="Palatino Linotype" w:hAnsi="Palatino Linotype" w:cs="Times New Roman"/>
          <w:sz w:val="20"/>
          <w:szCs w:val="20"/>
        </w:rPr>
        <w:lastRenderedPageBreak/>
        <w:t>gouvernance et légitimité, surtout dans des contextes de faible régulation et ressources limitées.</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Nos résultats indiquent une faible viabilité administrative, avec un score moyen global de 4,07 sur 10 et une cote globale de 56,57 %, bien inférieure au seuil de 80 %, considéré comme indicateur de viabilité acceptable. Cela suggère que la majorité des mutuelles évaluées disposent de capacités administratives limitées, à l’exception d’une mutuelle affichant une cote plus élevée de 81,2 %, indiquant une viabilité administrative acceptable.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Alors que notre étude souligne des carences structurelles dans le pilotage administratif (compétences, suivi, gestion des risques), une étude tanzanienne rapporte également une explosion des coûts de gestion en l’absence d’outils automatisés, affaiblissant toutes les dimensions administratives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10.1093/heapol/czt093","author":[{"dropping-particle":"","family":"Borghi","given":"Josephine","non-dropping-particle":"","parse-names":false,"suffix":""},{"dropping-particle":"","family":"Makawia","given":"Suzan","non-dropping-particle":"","parse-names":false,"suffix":""},{"dropping-particle":"","family":"Kuwawenaruwa","given":"August","non-dropping-particle":"","parse-names":false,"suffix":""}],"id":"ITEM-1","issue":"December 2013","issued":{"date-parts":[["2015"]]},"page":"19-27","title":"The administrative costs of community-based health insurance : a case study of the community health fund in Tanzania","type":"article-journal"},"uris":["http://www.mendeley.com/documents/?uuid=c62cdb26-1cd6-4b8d-aea5-36d441f4c3ab"]}],"mendeley":{"formattedCitation":"[18]","plainTextFormattedCitation":"[18]","previouslyFormattedCitation":"[18]"},"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[18]</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En comparaison, les modèles observés au Népal et au Costa Rica montrent qu’un cadre institutionnel organisé, des outils de gouvernance fiables et une structuration réglementaire claire permettent d’atteindre une administration solide et durable, offrant des pistes pour renforcer les mutuelles dans notre contexte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10.1007/s10389-024-02226-x","ISBN":"0123456789","author":[{"dropping-particle":"","family":"Lauer","given":"Romy","non-dropping-particle":"","parse-names":false,"suffix":""},{"dropping-particle":"","family":"Merkel","given":"Sebastian","non-dropping-particle":"","parse-names":false,"suffix":""},{"dropping-particle":"","family":"Bosompem","given":"Jennifer","non-dropping-particle":"","parse-names":false,"suffix":""},{"dropping-particle":"","family":"Langer","given":"Henrike","non-dropping-particle":"","parse-names":false,"suffix":""},{"dropping-particle":"","family":"Naeve","given":"Peter","non-dropping-particle":"","parse-names":false,"suffix":""},{"dropping-particle":"","family":"Herten","given":"Benjamin","non-dropping-particle":"","parse-names":false,"suffix":""},{"dropping-particle":"","family":"Burmann","given":"Anja","non-dropping-particle":"","parse-names":false,"suffix":""},{"dropping-particle":"","family":"Christian","given":"Horst","non-dropping-particle":"","parse-names":false,"suffix":""},{"dropping-particle":"","family":"Ina","given":"Vollmar","non-dropping-particle":"","parse-names":false,"suffix":""}],"id":"ITEM-1","issue":"0123456789","issued":{"date-parts":[["2024"]]},"title":"( Data ‑) Cooperatives in health and social care : a scoping review","type":"article-journal"},"uris":["http://www.mendeley.com/documents/?uuid=6473600c-c52b-49eb-9e20-5cba3f1aefe6"]}],"mendeley":{"formattedCitation":"[19]","plainTextFormattedCitation":"[19]","previouslyFormattedCitation":"[19]"},"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[19]</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10.1108/978-1-80455-774-720231001","ISBN":"9781804557747","author":[{"dropping-particle":"","family":"Singh","given":"Ritambhara","non-dropping-particle":"","parse-names":false,"suffix":""},{"dropping-particle":"","family":"Khanna","given":"Vishita","non-dropping-particle":"","parse-names":false,"suffix":""}],"id":"ITEM-1","issue":"December","issued":{"date-parts":[["2023"]]},"title":"The Emergence of Health Cooperatives : Experiences and Way Forward The Emergence of Health Cooperatives : Experiences and Way Forward","type":"book"},"uris":["http://www.mendeley.com/documents/?uuid=5c9a5bbd-da71-4602-9257-fa2eae4a1b8b"]}],"mendeley":{"formattedCitation":"[20]","plainTextFormattedCitation":"[20]","previouslyFormattedCitation":"[20]"},"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[20]</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Ces discussions suggèrent que, bien que certaines mutuelles soient administrativement viables, elles restent l’exception. Un besoin urgent de réformes s’impose pour améliorer la gestion des droits, des prises en charge et des risques, par la mise en place d’outils efficaces et de contrôles renforcés, assurant ainsi une viabilité à long terme.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Les scores de viabilité technique varient de 0,5 à 1,6, avec une moyenne de 1,02 sur 5. Cette faible moyenne (inférieure à 2) indique une non-viabilité technique globale. La cote globale de 56,57 % (inférieure au seuil de 80 %) reflète des faiblesses techniques, notamment dans la gestion des risques, l’évaluation des coûts et l’efficacité des services. Les mutuelles s’exposent à des risques importants tels que la sélection adverse, la surconsommation et la </w:t>
      </w:r>
      <w:proofErr w:type="spellStart"/>
      <w:r w:rsidRPr="00B616DD">
        <w:rPr>
          <w:rFonts w:ascii="Palatino Linotype" w:hAnsi="Palatino Linotype" w:cs="Times New Roman"/>
          <w:sz w:val="20"/>
          <w:szCs w:val="20"/>
        </w:rPr>
        <w:t>surprescription</w:t>
      </w:r>
      <w:proofErr w:type="spellEnd"/>
      <w:r w:rsidRPr="00B616DD">
        <w:rPr>
          <w:rFonts w:ascii="Palatino Linotype" w:hAnsi="Palatino Linotype" w:cs="Times New Roman"/>
          <w:sz w:val="20"/>
          <w:szCs w:val="20"/>
        </w:rPr>
        <w:t>, mettant en péril leur viabilité financière et la qualité des soins.</w:t>
      </w:r>
    </w:p>
    <w:p w:rsidR="00B616DD" w:rsidRPr="00B616DD" w:rsidRDefault="00B616DD" w:rsidP="00B616DD">
      <w:pPr>
        <w:spacing w:after="0" w:line="240" w:lineRule="auto"/>
        <w:jc w:val="both"/>
        <w:rPr>
          <w:rFonts w:ascii="Palatino Linotype" w:hAnsi="Palatino Linotype" w:cs="Times New Roman"/>
          <w:sz w:val="20"/>
          <w:szCs w:val="20"/>
        </w:rPr>
      </w:pPr>
      <w:proofErr w:type="spellStart"/>
      <w:r w:rsidRPr="00B616DD">
        <w:rPr>
          <w:rFonts w:ascii="Palatino Linotype" w:hAnsi="Palatino Linotype" w:cs="Times New Roman"/>
          <w:sz w:val="20"/>
          <w:szCs w:val="20"/>
        </w:rPr>
        <w:t>Seydina</w:t>
      </w:r>
      <w:proofErr w:type="spellEnd"/>
      <w:r w:rsidRPr="00B616DD">
        <w:rPr>
          <w:rFonts w:ascii="Palatino Linotype" w:hAnsi="Palatino Linotype" w:cs="Times New Roman"/>
          <w:sz w:val="20"/>
          <w:szCs w:val="20"/>
        </w:rPr>
        <w:t xml:space="preserve"> a trouvé des résultats similaires, indiquant que la quasi-totalité des mutuelles présentait des problèmes fonctionnels, financiers et techniques, donc non viables sur ces trois dimensions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{"citationItems":[{"id":"ITEM-1","itemData":{"DOI":"10.53318/msp.v11i2.2178","ISSN":"1987-0728","abstract":"Introduction : Au Sénégal, la mutualité a bénéficié d’un soutien politique considérable des autorités du pays qui ont défini la Couverture Maladie Universelle (CMU) comme une priorité. L’objectif général de notre étude était d’évaluer la viabilité des mutuelles de santé communautaires du District Sanitaire d’Oussouye en 2018. Matériel et méthode : Dans cette étude transversale descriptive à visée évaluative, la méthode mixte avait été utilisée. La viabilité avait été évaluée dans ses dimensions institutionnelle, technique, fonctionnelle et financière. Pour la perception des populations, un entretien individuel a été réalisé avec les présidents ou représentants des mutuelles de santé, les bénéficiaires ou non et un focus avec les leaders communautaires. Résultats : La totalité des mutuelles étaient viables sur le plan institutionnel. Sur le plan technique il y’avait une maitrise des risques de sélection adverse, de sur prescription et de surconsommation. Sur le plan fonctionnel, les résultats ont pu montrer un taux positif de croissance brute pour 80% des mutuelles de santé allant de 5% à 33%, le taux de pénétration moyen était de 74% et le taux de recouvrement à 49,33%. Sur le plan financier, le ratio de couverture des charges qui mesure l’autonomie financière était inférieur à 1 pour 80% des mutuelles. Conclusion : Les mutuelles d’Oussouye et de Mlomp soit 40% étaient viables en tenant compte de l’ensemble des dimensions. Soixante pour cent (60%) des mutuelles dépendant de la subvention étatique, des actions correctrices étaient nécessaires pour une pérennisation du financement de la santé.","author":[{"dropping-particle":"","family":"Diop","given":"Cheikh Tacko","non-dropping-particle":"","parse-names":false,"suffix":""}],"container-title":"Mali Santé Publique","id":"ITEM-1","issued":{"date-parts":[["2022"]]},"page":"1-7","title":"Evaluation de la viabilité des 05 mutuelles de santé communautaires dans le district sanitaire d’Oussouye en 2018","type":"article-journal"},"uris":["http://www.mendeley.com/documents/?uuid=72b3b148-ad51-4287-aeb2-2abb68e12fe3"]}],"mendeley":{"formattedCitation":"[17]","plainTextFormattedCitation":"[17]","previouslyFormattedCitation":"[17]"},"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[21]</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Ces résultats diffèrent de ceux de Diop Cheikh </w:t>
      </w:r>
      <w:proofErr w:type="spellStart"/>
      <w:r w:rsidRPr="00B616DD">
        <w:rPr>
          <w:rFonts w:ascii="Palatino Linotype" w:hAnsi="Palatino Linotype" w:cs="Times New Roman"/>
          <w:sz w:val="20"/>
          <w:szCs w:val="20"/>
        </w:rPr>
        <w:t>Tacko</w:t>
      </w:r>
      <w:proofErr w:type="spellEnd"/>
      <w:r w:rsidRPr="00B616DD">
        <w:rPr>
          <w:rFonts w:ascii="Palatino Linotype" w:hAnsi="Palatino Linotype" w:cs="Times New Roman"/>
          <w:sz w:val="20"/>
          <w:szCs w:val="20"/>
        </w:rPr>
        <w:t xml:space="preserve"> et al., qui ont montré que 40 % des mutuelles de santé d’</w:t>
      </w:r>
      <w:proofErr w:type="spellStart"/>
      <w:r w:rsidRPr="00B616DD">
        <w:rPr>
          <w:rFonts w:ascii="Palatino Linotype" w:hAnsi="Palatino Linotype" w:cs="Times New Roman"/>
          <w:sz w:val="20"/>
          <w:szCs w:val="20"/>
        </w:rPr>
        <w:t>Oussouye</w:t>
      </w:r>
      <w:proofErr w:type="spellEnd"/>
      <w:r w:rsidRPr="00B616DD">
        <w:rPr>
          <w:rFonts w:ascii="Palatino Linotype" w:hAnsi="Palatino Linotype" w:cs="Times New Roman"/>
          <w:sz w:val="20"/>
          <w:szCs w:val="20"/>
        </w:rPr>
        <w:t xml:space="preserve"> et de </w:t>
      </w:r>
      <w:proofErr w:type="spellStart"/>
      <w:r w:rsidRPr="00B616DD">
        <w:rPr>
          <w:rFonts w:ascii="Palatino Linotype" w:hAnsi="Palatino Linotype" w:cs="Times New Roman"/>
          <w:sz w:val="20"/>
          <w:szCs w:val="20"/>
        </w:rPr>
        <w:t>Mlomp</w:t>
      </w:r>
      <w:proofErr w:type="spellEnd"/>
      <w:r w:rsidRPr="00B616DD">
        <w:rPr>
          <w:rFonts w:ascii="Palatino Linotype" w:hAnsi="Palatino Linotype" w:cs="Times New Roman"/>
          <w:sz w:val="20"/>
          <w:szCs w:val="20"/>
        </w:rPr>
        <w:t xml:space="preserve"> étaient viables en tenant compte des risques de sélection adverse, surconsommation et </w:t>
      </w:r>
      <w:proofErr w:type="spellStart"/>
      <w:r w:rsidRPr="00B616DD">
        <w:rPr>
          <w:rFonts w:ascii="Palatino Linotype" w:hAnsi="Palatino Linotype" w:cs="Times New Roman"/>
          <w:sz w:val="20"/>
          <w:szCs w:val="20"/>
        </w:rPr>
        <w:t>surprescription</w:t>
      </w:r>
      <w:proofErr w:type="spellEnd"/>
      <w:r w:rsidRPr="00B616DD">
        <w:rPr>
          <w:rFonts w:ascii="Palatino Linotype" w:hAnsi="Palatino Linotype" w:cs="Times New Roman"/>
          <w:sz w:val="20"/>
          <w:szCs w:val="20"/>
        </w:rPr>
        <w:t xml:space="preserv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{"citationItems":[{"id":"ITEM-1","itemData":{"DOI":"10.53318/msp.v11i2.2178","ISSN":"1987-0728","abstract":"Introduction : Au Sénégal, la mutualité a bénéficié d’un soutien politique considérable des autorités du pays qui ont défini la Couverture Maladie Universelle (CMU) comme une priorité. L’objectif général de notre étude était d’évaluer la viabilité des mutuelles de santé communautaires du District Sanitaire d’Oussouye en 2018. Matériel et méthode : Dans cette étude transversale descriptive à visée évaluative, la méthode mixte avait été utilisée. La viabilité avait été évaluée dans ses dimensions institutionnelle, technique, fonctionnelle et financière. Pour la perception des populations, un entretien individuel a été réalisé avec les présidents ou représentants des mutuelles de santé, les bénéficiaires ou non et un focus avec les leaders communautaires. Résultats : La totalité des mutuelles étaient viables sur le plan institutionnel. Sur le plan technique il y’avait une maitrise des risques de sélection adverse, de sur prescription et de surconsommation. Sur le plan fonctionnel, les résultats ont pu montrer un taux positif de croissance brute pour 80% des mutuelles de santé allant de 5% à 33%, le taux de pénétration moyen était de 74% et le taux de recouvrement à 49,33%. Sur le plan financier, le ratio de couverture des charges qui mesure l’autonomie financière était inférieur à 1 pour 80% des mutuelles. Conclusion : Les mutuelles d’Oussouye et de Mlomp soit 40% étaient viables en tenant compte de l’ensemble des dimensions. Soixante pour cent (60%) des mutuelles dépendant de la subvention étatique, des actions correctrices étaient nécessaires pour une pérennisation du financement de la santé.","author":[{"dropping-particle":"","family":"Diop","given":"Cheikh Tacko","non-dropping-particle":"","parse-names":false,"suffix":""}],"container-title":"Mali Santé Publique","id":"ITEM-1","issued":{"date-parts":[["2022"]]},"page":"1-7","title":"Evaluation de la viabilité des 05 mutuelles de santé communautaires dans le district sanitaire d’Oussouye en 2018","type":"article-journal"},"uris":["http://www.mendeley.com/documents/?uuid=72b3b148-ad51-4287-aeb2-2abb68e12fe3"]}],"mendeley":{"formattedCitation":"[17]","plainTextFormattedCitation":"[17]","previouslyFormattedCitation":"[17]"},"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[17]</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Ces constats soulignent la nécessité d’un soutien technique et de réformes profondes dans la gestion des risques et des coûts. Le renforcement des capacités techniques, par la formation et l’implémentation de </w:t>
      </w:r>
      <w:r w:rsidRPr="00B616DD">
        <w:rPr>
          <w:rFonts w:ascii="Palatino Linotype" w:hAnsi="Palatino Linotype" w:cs="Times New Roman"/>
          <w:sz w:val="20"/>
          <w:szCs w:val="20"/>
        </w:rPr>
        <w:lastRenderedPageBreak/>
        <w:t>technologies avancées, pourrait améliorer la viabilité à long terme.</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Les scores de viabilité fonctionnelle varient de 3 à 5, avec une moyenne de 4. La cote globale est de 66,65 %, inférieure au seuil de 80 %, avec seulement deux mutuelles atteignant 83,3 %. Les résultats montrent une faible viabilité fonctionnelle, notamment un taux de pénétration nul, un recouvrement inadéquat et des paiements retardés.</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Ces observations concordent avec une étude éthiopienne qui révèle une faible performance dans les délais de paiement et des couvertures limitées et inéquitables observées au Burkina Faso, soulignant la nécessité d’améliorations structurelles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Hounton","given":"Sennen","non-dropping-particle":"","parse-names":false,"suffix":""},{"dropping-particle":"","family":"Byass","given":"Peter","non-dropping-particle":"","parse-names":false,"suffix":""},{"dropping-particle":"","family":"Kouyate","given":"Bocar","non-dropping-particle":"","parse-names":false,"suffix":""}],"id":"ITEM-1","issued":{"date-parts":[["2012"]]},"title":"Assessing effectiveness of a community based health insurance in rural Burkina Faso","type":"article-journal"},"uris":["http://www.mendeley.com/documents/?uuid=12455c2f-6052-4dc1-8146-3ea7531339fb"]}],"mendeley":{"formattedCitation":"[22]","plainTextFormattedCitation":"[22]","previouslyFormattedCitation":"[22]"},"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[22]</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10.1186/s12913-022-08439-8","ISSN":"1472-6963","author":[{"dropping-particle":"","family":"Hussien","given":"Mohammed","non-dropping-particle":"","parse-names":false,"suffix":""},{"dropping-particle":"","family":"Azage","given":"Muluken","non-dropping-particle":"","parse-names":false,"suffix":""},{"dropping-particle":"","family":"Bayou","given":"Negalign Berhanu","non-dropping-particle":"","parse-names":false,"suffix":""}],"container-title":"BMC Health Services Research","id":"ITEM-1","issued":{"date-parts":[["2022"]]},"page":"1-13","publisher":"BioMed Central","title":"Financial viability of a community ‑ based health insurance scheme in two districts of northeast Ethiopia : a mixed methods study","type":"article-journal"},"uris":["http://www.mendeley.com/documents/?uuid=da7a6d92-ad5d-4fb2-97bb-941b4e99aa7c"]}],"mendeley":{"formattedCitation":"[23]","plainTextFormattedCitation":"[23]","previouslyFormattedCitation":"[23]"},"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[23]</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6C5215">
        <w:rPr>
          <w:rFonts w:ascii="Palatino Linotype" w:hAnsi="Palatino Linotype" w:cs="Times New Roman"/>
          <w:sz w:val="20"/>
          <w:szCs w:val="20"/>
        </w:rPr>
        <w:t xml:space="preserve"> </w:t>
      </w:r>
      <w:proofErr w:type="spellStart"/>
      <w:r w:rsidRPr="00B616DD">
        <w:rPr>
          <w:rFonts w:ascii="Palatino Linotype" w:hAnsi="Palatino Linotype" w:cs="Times New Roman"/>
          <w:sz w:val="20"/>
          <w:szCs w:val="20"/>
        </w:rPr>
        <w:t>Seydina</w:t>
      </w:r>
      <w:proofErr w:type="spellEnd"/>
      <w:r w:rsidRPr="00B616DD">
        <w:rPr>
          <w:rFonts w:ascii="Palatino Linotype" w:hAnsi="Palatino Linotype" w:cs="Times New Roman"/>
          <w:sz w:val="20"/>
          <w:szCs w:val="20"/>
        </w:rPr>
        <w:t xml:space="preserve"> rapporte également des résultats comparables sur les plans fonctionnel, financier et technique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{"citationItems":[{"id":"ITEM-1","itemData":{"author":[{"dropping-particle":"","family":"Tacko","given":"Diop Cheikh","non-dropping-particle":"","parse-names":false,"suffix":""},{"dropping-particle":"","family":"Mouhamed","given":"Fall Seydina","non-dropping-particle":"","parse-names":false,"suffix":""},{"dropping-particle":"","family":"Mareme","given":"Sougou Ndeye","non-dropping-particle":"","parse-names":false,"suffix":""},{"dropping-particle":"","family":"Selly","given":"Ly Mamadou","non-dropping-particle":"","parse-names":false,"suffix":""},{"dropping-particle":"","family":"Boubacar","given":"Gueye","non-dropping-particle":"","parse-names":false,"suffix":""},{"dropping-particle":"","family":"Coly","given":"Bop Martial","non-dropping-particle":"","parse-names":false,"suffix":""},{"dropping-particle":"","family":"Ousseynou","given":"Ka","non-dropping-particle":"","parse-names":false,"suffix":""},{"dropping-particle":"","family":"Mamadou","given":"Leye","non-dropping-particle":"","parse-names":false,"suffix":""},{"dropping-particle":"","family":"Mbacke","given":"Mactar","non-dropping-particle":"","parse-names":false,"suffix":""}],"id":"ITEM-1","issue":"4","issued":{"date-parts":[["2024"]]},"page":"107-116","title":"Assessment of the Viability of Community-Based Health Insurance Schemes in the Ziguinchor Department from 2016 to 2018 in the Context of Universal Health Coverage","type":"article-journal","volume":"9"},"uris":["http://www.mendeley.com/documents/?uuid=68fcef8a-220a-4220-8f33-490f8e739b8b"]}],"mendeley":{"formattedCitation":"[21]","plainTextFormattedCitation":"[21]","previouslyFormattedCitation":"[21]"},"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[21]</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En revanche, Diop Cheikh </w:t>
      </w:r>
      <w:proofErr w:type="spellStart"/>
      <w:r w:rsidRPr="00B616DD">
        <w:rPr>
          <w:rFonts w:ascii="Palatino Linotype" w:hAnsi="Palatino Linotype" w:cs="Times New Roman"/>
          <w:sz w:val="20"/>
          <w:szCs w:val="20"/>
        </w:rPr>
        <w:t>Tacko</w:t>
      </w:r>
      <w:proofErr w:type="spellEnd"/>
      <w:r w:rsidRPr="00B616DD">
        <w:rPr>
          <w:rFonts w:ascii="Palatino Linotype" w:hAnsi="Palatino Linotype" w:cs="Times New Roman"/>
          <w:sz w:val="20"/>
          <w:szCs w:val="20"/>
        </w:rPr>
        <w:t xml:space="preserve"> et al. ont montré que 80 % des mutuelles étaient viables fonctionnellement, avec un taux de pénétration évoluant de 60,18 % à 80,68 %, traduisant un intérêt croissant des populations pour le système d’assurance communautaire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{"citationItems":[{"id":"ITEM-1","itemData":{"DOI":"10.53318/msp.v11i2.2178","ISSN":"1987-0728","abstract":"Introduction : Au Sénégal, la mutualité a bénéficié d’un soutien politique considérable des autorités du pays qui ont défini la Couverture Maladie Universelle (CMU) comme une priorité. L’objectif général de notre étude était d’évaluer la viabilité des mutuelles de santé communautaires du District Sanitaire d’Oussouye en 2018. Matériel et méthode : Dans cette étude transversale descriptive à visée évaluative, la méthode mixte avait été utilisée. La viabilité avait été évaluée dans ses dimensions institutionnelle, technique, fonctionnelle et financière. Pour la perception des populations, un entretien individuel a été réalisé avec les présidents ou représentants des mutuelles de santé, les bénéficiaires ou non et un focus avec les leaders communautaires. Résultats : La totalité des mutuelles étaient viables sur le plan institutionnel. Sur le plan technique il y’avait une maitrise des risques de sélection adverse, de sur prescription et de surconsommation. Sur le plan fonctionnel, les résultats ont pu montrer un taux positif de croissance brute pour 80% des mutuelles de santé allant de 5% à 33%, le taux de pénétration moyen était de 74% et le taux de recouvrement à 49,33%. Sur le plan financier, le ratio de couverture des charges qui mesure l’autonomie financière était inférieur à 1 pour 80% des mutuelles. Conclusion : Les mutuelles d’Oussouye et de Mlomp soit 40% étaient viables en tenant compte de l’ensemble des dimensions. Soixante pour cent (60%) des mutuelles dépendant de la subvention étatique, des actions correctrices étaient nécessaires pour une pérennisation du financement de la santé.","author":[{"dropping-particle":"","family":"Diop","given":"Cheikh Tacko","non-dropping-particle":"","parse-names":false,"suffix":""}],"container-title":"Mali Santé Publique","id":"ITEM-1","issued":{"date-parts":[["2022"]]},"page":"1-7","title":"Evaluation de la viabilité des 05 mutuelles de santé communautaires dans le district sanitaire d’Oussouye en 2018","type":"article-journal"},"uris":["http://www.mendeley.com/documents/?uuid=72b3b148-ad51-4287-aeb2-2abb68e12fe3"]}],"mendeley":{"formattedCitation":"[17]","plainTextFormattedCitation":"[17]","previouslyFormattedCitation":"[17]"},"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[17]</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r w:rsidR="0095622B">
        <w:rPr>
          <w:rFonts w:ascii="Palatino Linotype" w:hAnsi="Palatino Linotype" w:cs="Times New Roman"/>
          <w:sz w:val="20"/>
          <w:szCs w:val="20"/>
        </w:rPr>
        <w:t xml:space="preserve"> </w:t>
      </w:r>
      <w:r w:rsidRPr="00B616DD">
        <w:rPr>
          <w:rFonts w:ascii="Palatino Linotype" w:hAnsi="Palatino Linotype" w:cs="Times New Roman"/>
          <w:sz w:val="20"/>
          <w:szCs w:val="20"/>
        </w:rPr>
        <w:t>Ces éléments montrent que la viabilité fonctionnelle des mutuelles nécessite des améliorations sur plusieurs plans : gestion financière, augmentation du taux de pénétration, amélioration des délais de paiement et de remboursement, et renforcement de la gouvernance pour assurer leur pérennité dans un environnement compétitif et évolutif.</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Les scores de viabilité financière varient de 2 à 4, avec une moyenne de 2,5, correspondant à une cote globale de 41,62 %, bien en dessous du seuil de 80 %. Les scores les plus faibles concernent le ratio de liquidité immédiate (0,25), le ratio de couverture des charges ou taux de réserve (0,25) et le ratio des frais de fonctionnement brut (0), suggérant une vulnérabilité financière importante.</w:t>
      </w:r>
    </w:p>
    <w:p w:rsidR="0095622B"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Ces résultats sont cohérents avec d’autres études, notamment au Sénégal, qui révèlent un problème général de liquidité et de réserves financières insuffisantes dans le secteur des mutuelles, avec un taux moyen de sinistres de 282 %, indiquant des paiements de soins excédant largement les primes collectées. Malgré un cadre institutionnel solide, la viabilité financière reste très compromise, freinée par les coûts incontrôlés et les faillites opérationnelles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{"citationItems":[{"id":"ITEM-1","itemData":{"author":[{"dropping-particle":"","family":"Tacko","given":"Diop Cheikh","non-dropping-particle":"","parse-names":false,"suffix":""},{"dropping-particle":"","family":"Mouhamed","given":"Fall Seydina","non-dropping-particle":"","parse-names":false,"suffix":""},{"dropping-particle":"","family":"Mareme","given":"Sougou Ndeye","non-dropping-particle":"","parse-names":false,"suffix":""},{"dropping-particle":"","family":"Selly","given":"Ly Mamadou","non-dropping-particle":"","parse-names":false,"suffix":""},{"dropping-particle":"","family":"Boubacar","given":"Gueye","non-dropping-particle":"","parse-names":false,"suffix":""},{"dropping-particle":"","family":"Coly","given":"Bop Martial","non-dropping-particle":"","parse-names":false,"suffix":""},{"dropping-particle":"","family":"Ousseynou","given":"Ka","non-dropping-particle":"","parse-names":false,"suffix":""},{"dropping-particle":"","family":"Mamadou","given":"Leye","non-dropping-particle":"","parse-names":false,"suffix":""},{"dropping-particle":"","family":"Mbacke","given":"Mactar","non-dropping-particle":"","parse-names":false,"suffix":""}],"id":"ITEM-1","issue":"4","issued":{"date-parts":[["2024"]]},"page":"107-116","title":"Assessment of the Viability of Community-Based Health Insurance Schemes in the Ziguinchor Department from 2016 to 2018 in the Context of Universal Health Coverage","type":"article-journal","volume":"9"},"uris":["http://www.mendeley.com/documents/?uuid=68fcef8a-220a-4220-8f33-490f8e739b8b"]}],"mendeley":{"formattedCitation":"[21]","plainTextFormattedCitation":"[21]","previouslyFormattedCitation":"[21]"},"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[21]</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xml:space="preserve">. </w:t>
      </w:r>
      <w:r w:rsidR="0095622B">
        <w:rPr>
          <w:rFonts w:ascii="Palatino Linotype" w:hAnsi="Palatino Linotype" w:cs="Times New Roman"/>
          <w:sz w:val="20"/>
          <w:szCs w:val="20"/>
        </w:rPr>
        <w:t xml:space="preserve"> </w:t>
      </w:r>
      <w:r w:rsidRPr="00B616DD">
        <w:rPr>
          <w:rFonts w:ascii="Palatino Linotype" w:hAnsi="Palatino Linotype" w:cs="Times New Roman"/>
          <w:sz w:val="20"/>
          <w:szCs w:val="20"/>
        </w:rPr>
        <w:t xml:space="preserve"> </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Les faibles ratios de notre étude sont également concordants avec ceux de l’Éthiopie, où le schéma d’assurance santé communautaire a présenté des revenus nets négatifs, en raison de la sélection adverse, du risque moral, des ruptures de stock, des retards de remboursement et des primes insuffisantes par rapport aux coûts des soins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10.1186/s12913-022-08439-8","ISSN":"1472-6963","author":[{"dropping-particle":"","family":"Hussien","given":"Mohammed","non-dropping-particle":"","parse-names":false,"suffix":""},{"dropping-particle":"","family":"Azage","given":"Muluken","non-dropping-particle":"","parse-names":false,"suffix":""},{"dropping-particle":"","family":"Bayou","given":"Negalign Berhanu","non-dropping-particle":"","parse-names":false,"suffix":""}],"container-title":"BMC Health Services Research","id":"ITEM-1","issued":{"date-parts":[["2022"]]},"page":"1-13","publisher":"BioMed Central","title":"Financial viability of a community ‑ based health insurance scheme in two districts of northeast Ethiopia : a mixed methods study","type":"article-journal"},"uris":["http://www.mendeley.com/documents/?uuid=da7a6d92-ad5d-4fb2-97bb-941b4e99aa7c"]}],"mendeley":{"formattedCitation":"[23]","plainTextFormattedCitation":"[23]"},"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[23]</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 xml:space="preserve">Nos résultats diffèrent de ceux du Mali, où 40 % des mutuelles présentaient une viabilité financière </w:t>
      </w:r>
      <w:r w:rsidRPr="00B616DD">
        <w:rPr>
          <w:rFonts w:ascii="Palatino Linotype" w:hAnsi="Palatino Linotype" w:cs="Times New Roman"/>
          <w:sz w:val="20"/>
          <w:szCs w:val="20"/>
        </w:rPr>
        <w:lastRenderedPageBreak/>
        <w:t xml:space="preserve">satisfaisante, avec des ratios de frais de fonctionnement supérieurs à 0,15 </w:t>
      </w:r>
      <w:r w:rsidRPr="00B616DD">
        <w:rPr>
          <w:rFonts w:ascii="Palatino Linotype" w:hAnsi="Palatino Linotype" w:cs="Times New Roman"/>
          <w:sz w:val="20"/>
          <w:szCs w:val="20"/>
        </w:rPr>
        <w:fldChar w:fldCharType="begin" w:fldLock="1"/>
      </w:r>
      <w:r w:rsidRPr="00B616DD">
        <w:rPr>
          <w:rFonts w:ascii="Palatino Linotype" w:hAnsi="Palatino Linotype" w:cs="Times New Roman"/>
          <w:sz w:val="20"/>
          <w:szCs w:val="20"/>
        </w:rPr>
        <w:instrText>ADDIN CSL_CITATION {"citationItems":[{"id":"ITEM-1","itemData":{"DOI":"10.53318/msp.v11i2.2178","ISSN":"1987-0728","abstract":"Introduction : Au Sénégal, la mutualité a bénéficié d’un soutien politique considérable des autorités du pays qui ont défini la Couverture Maladie Universelle (CMU) comme une priorité. L’objectif général de notre étude était d’évaluer la viabilité des mutuelles de santé communautaires du District Sanitaire d’Oussouye en 2018. Matériel et méthode : Dans cette étude transversale descriptive à visée évaluative, la méthode mixte avait été utilisée. La viabilité avait été évaluée dans ses dimensions institutionnelle, technique, fonctionnelle et financière. Pour la perception des populations, un entretien individuel a été réalisé avec les présidents ou représentants des mutuelles de santé, les bénéficiaires ou non et un focus avec les leaders communautaires. Résultats : La totalité des mutuelles étaient viables sur le plan institutionnel. Sur le plan technique il y’avait une maitrise des risques de sélection adverse, de sur prescription et de surconsommation. Sur le plan fonctionnel, les résultats ont pu montrer un taux positif de croissance brute pour 80% des mutuelles de santé allant de 5% à 33%, le taux de pénétration moyen était de 74% et le taux de recouvrement à 49,33%. Sur le plan financier, le ratio de couverture des charges qui mesure l’autonomie financière était inférieur à 1 pour 80% des mutuelles. Conclusion : Les mutuelles d’Oussouye et de Mlomp soit 40% étaient viables en tenant compte de l’ensemble des dimensions. Soixante pour cent (60%) des mutuelles dépendant de la subvention étatique, des actions correctrices étaient nécessaires pour une pérennisation du financement de la santé.","author":[{"dropping-particle":"","family":"Diop","given":"Cheikh Tacko","non-dropping-particle":"","parse-names":false,"suffix":""}],"container-title":"Mali Santé Publique","id":"ITEM-1","issued":{"date-parts":[["2022"]]},"page":"1-7","title":"Evaluation de la viabilité des 05 mutuelles de santé communautaires dans le district sanitaire d’Oussouye en 2018","type":"article-journal"},"uris":["http://www.mendeley.com/documents/?uuid=72b3b148-ad51-4287-aeb2-2abb68e12fe3"]}],"mendeley":{"formattedCitation":"[17]","plainTextFormattedCitation":"[17]","previouslyFormattedCitation":"[17]"},"properties":{"noteIndex":0},"schema":"https://github.com/citation-style-language/schema/raw/master/csl-citation.json"}</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[17]</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Les faibles ratios de liquidité, de couverture des charges et de contrôle des frais soulignent des lacunes majeures dans la gestion financière. Il est impératif d’améliorer la gestion des liquidités, de renforcer les réserves financières et de réduire les frais de fonctionnement pour assurer une viabilité durable.</w:t>
      </w:r>
    </w:p>
    <w:p w:rsidR="00B616DD" w:rsidRPr="006C5215" w:rsidRDefault="00B616DD" w:rsidP="006C5215">
      <w:pPr>
        <w:spacing w:before="240" w:after="0"/>
        <w:jc w:val="both"/>
        <w:rPr>
          <w:rFonts w:ascii="Palatino Linotype" w:hAnsi="Palatino Linotype" w:cs="Times New Roman"/>
          <w:b/>
          <w:sz w:val="20"/>
          <w:szCs w:val="20"/>
        </w:rPr>
      </w:pPr>
      <w:r w:rsidRPr="006C5215">
        <w:rPr>
          <w:rFonts w:ascii="Palatino Linotype" w:hAnsi="Palatino Linotype" w:cs="Times New Roman"/>
          <w:b/>
          <w:sz w:val="20"/>
          <w:szCs w:val="20"/>
        </w:rPr>
        <w:t>Conclusion</w:t>
      </w:r>
    </w:p>
    <w:p w:rsidR="00B616DD" w:rsidRPr="00B616DD" w:rsidRDefault="00B616DD" w:rsidP="00B616DD">
      <w:pPr>
        <w:spacing w:after="0" w:line="240" w:lineRule="auto"/>
        <w:jc w:val="both"/>
        <w:rPr>
          <w:rFonts w:ascii="Palatino Linotype" w:hAnsi="Palatino Linotype" w:cs="Times New Roman"/>
          <w:sz w:val="20"/>
          <w:szCs w:val="20"/>
        </w:rPr>
      </w:pPr>
      <w:r w:rsidRPr="00B616DD">
        <w:rPr>
          <w:rFonts w:ascii="Palatino Linotype" w:hAnsi="Palatino Linotype" w:cs="Times New Roman"/>
          <w:sz w:val="20"/>
          <w:szCs w:val="20"/>
        </w:rPr>
        <w:t>Cette étude révèle que les mutuelles de santé présentent des cotes globales largement inférieures aux seuils de viabilité sur plusieurs critères essentiels, soulignant des faiblesses majeures dans leur fonctionnement et gestion. Ces insuffisances appellent à une formation approfondie et une révision des pratiques organisationnelles et financières pour garantir leur pérennité.</w:t>
      </w:r>
    </w:p>
    <w:p w:rsidR="00B616DD" w:rsidRPr="00B616DD" w:rsidRDefault="00B616DD" w:rsidP="006C5215">
      <w:pPr>
        <w:spacing w:before="240" w:after="0"/>
        <w:jc w:val="both"/>
        <w:rPr>
          <w:rFonts w:ascii="Palatino Linotype" w:hAnsi="Palatino Linotype" w:cs="Times New Roman"/>
          <w:sz w:val="20"/>
          <w:szCs w:val="20"/>
        </w:rPr>
      </w:pPr>
      <w:r w:rsidRPr="006C5215">
        <w:rPr>
          <w:rFonts w:ascii="Palatino Linotype" w:hAnsi="Palatino Linotype" w:cs="Times New Roman"/>
          <w:b/>
          <w:sz w:val="20"/>
          <w:szCs w:val="20"/>
        </w:rPr>
        <w:t>Conflits d'intérêts</w:t>
      </w:r>
      <w:r w:rsidR="006C5215">
        <w:rPr>
          <w:rFonts w:ascii="Palatino Linotype" w:hAnsi="Palatino Linotype" w:cs="Times New Roman"/>
          <w:b/>
          <w:sz w:val="20"/>
          <w:szCs w:val="20"/>
        </w:rPr>
        <w:t xml:space="preserve"> : </w:t>
      </w:r>
      <w:r w:rsidR="006C5215">
        <w:rPr>
          <w:rFonts w:ascii="Palatino Linotype" w:hAnsi="Palatino Linotype" w:cs="Times New Roman"/>
          <w:sz w:val="20"/>
          <w:szCs w:val="20"/>
        </w:rPr>
        <w:t>Aucun</w:t>
      </w:r>
    </w:p>
    <w:p w:rsidR="00B616DD" w:rsidRPr="006C5215" w:rsidRDefault="00B616DD" w:rsidP="006C5215">
      <w:pPr>
        <w:spacing w:before="240" w:after="0"/>
        <w:jc w:val="both"/>
        <w:rPr>
          <w:rFonts w:ascii="Palatino Linotype" w:hAnsi="Palatino Linotype" w:cs="Times New Roman"/>
          <w:b/>
          <w:sz w:val="20"/>
          <w:szCs w:val="20"/>
        </w:rPr>
      </w:pPr>
      <w:r w:rsidRPr="006C5215">
        <w:rPr>
          <w:rFonts w:ascii="Palatino Linotype" w:hAnsi="Palatino Linotype" w:cs="Times New Roman"/>
          <w:b/>
          <w:sz w:val="20"/>
          <w:szCs w:val="20"/>
        </w:rPr>
        <w:t xml:space="preserve">Références </w:t>
      </w:r>
    </w:p>
    <w:p w:rsidR="00B616DD" w:rsidRPr="006C5215" w:rsidRDefault="00B616DD"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B616DD">
        <w:rPr>
          <w:rFonts w:ascii="Palatino Linotype" w:hAnsi="Palatino Linotype" w:cs="Times New Roman"/>
          <w:sz w:val="20"/>
          <w:szCs w:val="20"/>
        </w:rPr>
        <w:fldChar w:fldCharType="begin" w:fldLock="1"/>
      </w:r>
      <w:r w:rsidRPr="006C5215">
        <w:rPr>
          <w:rFonts w:ascii="Palatino Linotype" w:hAnsi="Palatino Linotype" w:cs="Times New Roman"/>
          <w:sz w:val="20"/>
          <w:szCs w:val="20"/>
        </w:rPr>
        <w:instrText xml:space="preserve">ADDIN Mendeley Bibliography CSL_BIBLIOGRAPHY </w:instrText>
      </w:r>
      <w:r w:rsidRPr="00B616DD">
        <w:rPr>
          <w:rFonts w:ascii="Palatino Linotype" w:hAnsi="Palatino Linotype" w:cs="Times New Roman"/>
          <w:sz w:val="20"/>
          <w:szCs w:val="20"/>
        </w:rPr>
        <w:fldChar w:fldCharType="separate"/>
      </w:r>
      <w:r w:rsidRPr="006C5215">
        <w:rPr>
          <w:rFonts w:ascii="Palatino Linotype" w:hAnsi="Palatino Linotype" w:cs="Times New Roman"/>
          <w:sz w:val="20"/>
          <w:szCs w:val="20"/>
        </w:rPr>
        <w:t xml:space="preserve">BIT. Guide de gestion des mutuelles de santé en Afrique. Genève, Bureau international du Travail, Programme Stratégies et Techniques contre l’Exclusion sociale et la Pauvreté (STEP), 2003. </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 xml:space="preserve">Organisation mondiale de la santé, Banque mondiale. </w:t>
      </w:r>
      <w:r w:rsidRPr="00B728C3">
        <w:rPr>
          <w:rFonts w:ascii="Palatino Linotype" w:hAnsi="Palatino Linotype" w:cs="Times New Roman"/>
          <w:sz w:val="20"/>
          <w:szCs w:val="20"/>
          <w:lang w:val="en-US"/>
        </w:rPr>
        <w:t xml:space="preserve">Tracking Universal Health Coverage: Global Monitoring Report. </w:t>
      </w:r>
      <w:r w:rsidRPr="006C5215">
        <w:rPr>
          <w:rFonts w:ascii="Palatino Linotype" w:hAnsi="Palatino Linotype" w:cs="Times New Roman"/>
          <w:sz w:val="20"/>
          <w:szCs w:val="20"/>
        </w:rPr>
        <w:t>Genève: OMS; 2023. doi:10.1596/40348.</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Yarumba T, Kazungu I. Micro insurance: a positive intervention to household income and poverty reduction? Experience from Marangu, Tanzania. 2016 Dec.</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Waelkens M, Mars BC. Les mutuelles de santé en Afrique subsaharienne: état des lieux et réflexions sur un agenda de recherche. 2004 Jan.</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Commission Nationale de la Santé (CNS). Rapport sur les dépenses de consommation de santé en République Démocratique du Congo 2020. Kinshasa: CNS; 2021.</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République Démocratique du Congo. Enquête Démographique et de Santé (EDS-RDC III) 2023–2024: rapport final. Kinshasa: Ministère de la Santé; 2025 Feb.</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Kahindo M, Mitangala P, Tchouaket E, Mahamba N, Kahandukya L, Syayipuma JR. Enjeux et défis de la couverture santé universelle en République Démocratique du Congo. Int J Innov Sci Res. 2023;66(1):42</w:t>
      </w:r>
      <w:r w:rsidRPr="006C5215">
        <w:rPr>
          <w:rFonts w:ascii="Palatino Linotype" w:hAnsi="Palatino Linotype" w:cs="Times New Roman"/>
          <w:sz w:val="20"/>
          <w:szCs w:val="20"/>
        </w:rPr>
        <w:noBreakHyphen/>
        <w:t>56.</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Mushagalusa C. Profile of health care workers in a context of instability: a cross-sectional study of four rural health zones in Eastern DR Congo. 2016.</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lastRenderedPageBreak/>
        <w:t>Waelkens M, Waelkens M. Étude des mutuelles de santé en RDC dans le cadre de la couverture sanitaire universelle. Anvers: Institut de Médecine Tropicale; 2016. p.1</w:t>
      </w:r>
      <w:r w:rsidRPr="006C5215">
        <w:rPr>
          <w:rFonts w:ascii="Palatino Linotype" w:hAnsi="Palatino Linotype" w:cs="Times New Roman"/>
          <w:sz w:val="20"/>
          <w:szCs w:val="20"/>
        </w:rPr>
        <w:noBreakHyphen/>
        <w:t>80.</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Bashi J, Sia D, Tchouaket E, Balegamire SJ, Karemere H. Mutual health insurance in Bukavu in the Democratic Republic of the Congo: factors favouring the utilization of health services by adherents. Pan Afr Med J. 2020;35:100. doi:10.11604/pamj.2020.35.100.20441.</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B728C3">
        <w:rPr>
          <w:rFonts w:ascii="Palatino Linotype" w:hAnsi="Palatino Linotype" w:cs="Times New Roman"/>
          <w:sz w:val="20"/>
          <w:szCs w:val="20"/>
          <w:lang w:val="en-US"/>
        </w:rPr>
        <w:t xml:space="preserve">Élias RB, Bitongwa JM, Kamundu AK, Ngaboyeka M, Wembonyama SO. </w:t>
      </w:r>
      <w:r w:rsidRPr="006C5215">
        <w:rPr>
          <w:rFonts w:ascii="Palatino Linotype" w:hAnsi="Palatino Linotype" w:cs="Times New Roman"/>
          <w:sz w:val="20"/>
          <w:szCs w:val="20"/>
        </w:rPr>
        <w:t>Facteurs favorisant l’utilisation des mutuelles de santé dans la zone de santé d’Uvira au Sud-Kivu. 2024 Sep.</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Kigume R, Maluka S. The failure of community-based health insurance schemes in Tanzania: opening the black box of the implementation process. 2021;6:1</w:t>
      </w:r>
      <w:r w:rsidRPr="006C5215">
        <w:rPr>
          <w:rFonts w:ascii="Palatino Linotype" w:hAnsi="Palatino Linotype" w:cs="Times New Roman"/>
          <w:sz w:val="20"/>
          <w:szCs w:val="20"/>
          <w:lang w:val="en-US"/>
        </w:rPr>
        <w:noBreakHyphen/>
        <w:t>9.</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Organisation internationale pour les migrations (OIM). RDC — Nord-Kivu: rapport d’enregistrement — Goma (juillet 2023). Goma: OIM; 2023 Jul. Disponible sur: https://dtm.iom.int/reports/rdc-nord-kivu-rapport-denregistrement-goma-juillet-2023</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Nzanzu M, Prudence MN, Tchouaket E, Musubao ET, Aminata KK. Revenu et dépenses de soins des ménages en milieu urbain de Goma, à l’est de la République Démocratique du Congo. 2021;57(Nov):65</w:t>
      </w:r>
      <w:r w:rsidRPr="006C5215">
        <w:rPr>
          <w:rFonts w:ascii="Palatino Linotype" w:hAnsi="Palatino Linotype" w:cs="Times New Roman"/>
          <w:sz w:val="20"/>
          <w:szCs w:val="20"/>
        </w:rPr>
        <w:noBreakHyphen/>
        <w:t>79.</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B728C3">
        <w:rPr>
          <w:rFonts w:ascii="Palatino Linotype" w:hAnsi="Palatino Linotype" w:cs="Times New Roman"/>
          <w:sz w:val="20"/>
          <w:szCs w:val="20"/>
          <w:lang w:val="en-US"/>
        </w:rPr>
        <w:t xml:space="preserve">Tacko DC, et al. Study of the viability of community-based mutual health insurances in the Department of Vélingara in 2019 in Senegal. </w:t>
      </w:r>
      <w:r w:rsidRPr="006C5215">
        <w:rPr>
          <w:rFonts w:ascii="Palatino Linotype" w:hAnsi="Palatino Linotype" w:cs="Times New Roman"/>
          <w:sz w:val="20"/>
          <w:szCs w:val="20"/>
        </w:rPr>
        <w:t>Cent Afr J Public Health. 2022;8(2):74</w:t>
      </w:r>
      <w:r w:rsidRPr="006C5215">
        <w:rPr>
          <w:rFonts w:ascii="Palatino Linotype" w:hAnsi="Palatino Linotype" w:cs="Times New Roman"/>
          <w:sz w:val="20"/>
          <w:szCs w:val="20"/>
        </w:rPr>
        <w:noBreakHyphen/>
        <w:t>9. doi:10.11648/j.cajph.20220802.18.</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 xml:space="preserve">Ridde V, Antwi AA, Boidin B, Chemouni B, Hane F, Touré L. Time to abandon amateurism and </w:t>
      </w:r>
      <w:r w:rsidRPr="006C5215">
        <w:rPr>
          <w:rFonts w:ascii="Palatino Linotype" w:hAnsi="Palatino Linotype" w:cs="Times New Roman"/>
          <w:sz w:val="20"/>
          <w:szCs w:val="20"/>
          <w:lang w:val="en-US"/>
        </w:rPr>
        <w:lastRenderedPageBreak/>
        <w:t>volunteerism: addressing tensions between the Alma-Ata principle of community participation and the effectiveness of community-based health insurance in Africa. BMJ Glob Health. 2018;3:e001056. doi:10.1136/bmjgh-2018-001056.</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6C5215">
        <w:rPr>
          <w:rFonts w:ascii="Palatino Linotype" w:hAnsi="Palatino Linotype" w:cs="Times New Roman"/>
          <w:sz w:val="20"/>
          <w:szCs w:val="20"/>
        </w:rPr>
        <w:t>Diop CT. Évaluation de la viabilité des 5 mutuelles de santé communautaires dans le district sanitaire d’Oussouye en 2018. Mali Santé Publique. 2022;11(2):1</w:t>
      </w:r>
      <w:r w:rsidRPr="006C5215">
        <w:rPr>
          <w:rFonts w:ascii="Palatino Linotype" w:hAnsi="Palatino Linotype" w:cs="Times New Roman"/>
          <w:sz w:val="20"/>
          <w:szCs w:val="20"/>
        </w:rPr>
        <w:noBreakHyphen/>
        <w:t>7. doi:10.53318/msp.v11i2.2178.</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Borghi J, Makawia S, Kuwawenaruwa A. The administrative costs of community-based health insurance: a case study of the community health fund in Tanzania. Health Policy Plan. 2015;30(1):19</w:t>
      </w:r>
      <w:r w:rsidRPr="006C5215">
        <w:rPr>
          <w:rFonts w:ascii="Palatino Linotype" w:hAnsi="Palatino Linotype" w:cs="Times New Roman"/>
          <w:sz w:val="20"/>
          <w:szCs w:val="20"/>
          <w:lang w:val="en-US"/>
        </w:rPr>
        <w:noBreakHyphen/>
        <w:t>27. doi:10.1093/heapol/czt093.</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B728C3">
        <w:rPr>
          <w:rFonts w:ascii="Palatino Linotype" w:hAnsi="Palatino Linotype" w:cs="Times New Roman"/>
          <w:sz w:val="20"/>
          <w:szCs w:val="20"/>
          <w:lang w:val="en-US"/>
        </w:rPr>
        <w:t xml:space="preserve">Lauer R, et al. (Data-)Cooperatives in health and social care: a scoping review. </w:t>
      </w:r>
      <w:r w:rsidRPr="006C5215">
        <w:rPr>
          <w:rFonts w:ascii="Palatino Linotype" w:hAnsi="Palatino Linotype" w:cs="Times New Roman"/>
          <w:sz w:val="20"/>
          <w:szCs w:val="20"/>
        </w:rPr>
        <w:t>J Public Health. 2024. doi:10.1007/s10389-024-02226-x.</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Singh R, Khanna V. The emergence of health cooperatives: experiences and way forward. 2023 Dec. doi:10.1108/978-1-80455-774-720231001.</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B728C3">
        <w:rPr>
          <w:rFonts w:ascii="Palatino Linotype" w:hAnsi="Palatino Linotype" w:cs="Times New Roman"/>
          <w:sz w:val="20"/>
          <w:szCs w:val="20"/>
          <w:lang w:val="en-US"/>
        </w:rPr>
        <w:t xml:space="preserve">Tacko DC, et al. Assessment of the viability of community-based health insurance schemes in the Ziguinchor Department from 2016 to 2018 in the context of universal health coverage. </w:t>
      </w:r>
      <w:r w:rsidRPr="006C5215">
        <w:rPr>
          <w:rFonts w:ascii="Palatino Linotype" w:hAnsi="Palatino Linotype" w:cs="Times New Roman"/>
          <w:sz w:val="20"/>
          <w:szCs w:val="20"/>
        </w:rPr>
        <w:t>2024;9(4):107</w:t>
      </w:r>
      <w:r w:rsidRPr="006C5215">
        <w:rPr>
          <w:rFonts w:ascii="Palatino Linotype" w:hAnsi="Palatino Linotype" w:cs="Times New Roman"/>
          <w:sz w:val="20"/>
          <w:szCs w:val="20"/>
        </w:rPr>
        <w:noBreakHyphen/>
        <w:t>16.</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lang w:val="en-US"/>
        </w:rPr>
      </w:pPr>
      <w:r w:rsidRPr="006C5215">
        <w:rPr>
          <w:rFonts w:ascii="Palatino Linotype" w:hAnsi="Palatino Linotype" w:cs="Times New Roman"/>
          <w:sz w:val="20"/>
          <w:szCs w:val="20"/>
          <w:lang w:val="en-US"/>
        </w:rPr>
        <w:t>Hounton S, Byass P, Kouyaté B. Assessing effectiveness of a community-based health insurance in rural Burkina Faso. 2012.</w:t>
      </w:r>
    </w:p>
    <w:p w:rsidR="006C5215" w:rsidRPr="006C5215" w:rsidRDefault="006C5215" w:rsidP="00905A26">
      <w:pPr>
        <w:pStyle w:val="Paragraphedeliste"/>
        <w:numPr>
          <w:ilvl w:val="0"/>
          <w:numId w:val="4"/>
        </w:numPr>
        <w:tabs>
          <w:tab w:val="clear" w:pos="720"/>
          <w:tab w:val="num" w:pos="426"/>
        </w:tabs>
        <w:spacing w:after="0" w:line="240" w:lineRule="auto"/>
        <w:ind w:left="426" w:hanging="426"/>
        <w:jc w:val="both"/>
        <w:rPr>
          <w:rFonts w:ascii="Palatino Linotype" w:hAnsi="Palatino Linotype" w:cs="Times New Roman"/>
          <w:sz w:val="20"/>
          <w:szCs w:val="20"/>
        </w:rPr>
      </w:pPr>
      <w:r w:rsidRPr="00B728C3">
        <w:rPr>
          <w:rFonts w:ascii="Palatino Linotype" w:hAnsi="Palatino Linotype" w:cs="Times New Roman"/>
          <w:sz w:val="20"/>
          <w:szCs w:val="20"/>
          <w:lang w:val="en-US"/>
        </w:rPr>
        <w:t xml:space="preserve">Hussien M, Azage M, Bayou NB. Financial viability of a community-based health insurance scheme in two districts of northeast Ethiopia: a mixed methods study. </w:t>
      </w:r>
      <w:r w:rsidRPr="006C5215">
        <w:rPr>
          <w:rFonts w:ascii="Palatino Linotype" w:hAnsi="Palatino Linotype" w:cs="Times New Roman"/>
          <w:sz w:val="20"/>
          <w:szCs w:val="20"/>
        </w:rPr>
        <w:t>BMC Health Serv Res. 2022;22:8439. doi:10.1186/s12913-022-08439-8.</w:t>
      </w:r>
    </w:p>
    <w:p w:rsidR="009011E4" w:rsidRDefault="00B616DD" w:rsidP="006C5215">
      <w:pPr>
        <w:sectPr w:rsidR="009011E4" w:rsidSect="009011E4">
          <w:type w:val="continuous"/>
          <w:pgSz w:w="11906" w:h="16838"/>
          <w:pgMar w:top="1417" w:right="707" w:bottom="1276" w:left="567" w:header="708" w:footer="708" w:gutter="0"/>
          <w:cols w:num="2" w:space="426"/>
          <w:docGrid w:linePitch="360"/>
        </w:sectPr>
      </w:pPr>
      <w:r w:rsidRPr="00B616DD">
        <w:fldChar w:fldCharType="end"/>
      </w:r>
    </w:p>
    <w:p w:rsidR="00B616DD" w:rsidRDefault="00B616DD" w:rsidP="0073724A">
      <w:pPr>
        <w:pBdr>
          <w:bottom w:val="single" w:sz="4" w:space="1" w:color="auto"/>
        </w:pBdr>
        <w:spacing w:after="160" w:line="259" w:lineRule="auto"/>
      </w:pPr>
    </w:p>
    <w:p w:rsidR="0073724A" w:rsidRDefault="0073724A">
      <w:pPr>
        <w:spacing w:after="160" w:line="259" w:lineRule="auto"/>
      </w:pPr>
      <w:r>
        <w:br w:type="page"/>
      </w:r>
    </w:p>
    <w:tbl>
      <w:tblPr>
        <w:tblStyle w:val="TableauListe6Couleur1"/>
        <w:tblW w:w="5000" w:type="pct"/>
        <w:tblLook w:val="04A0" w:firstRow="1" w:lastRow="0" w:firstColumn="1" w:lastColumn="0" w:noHBand="0" w:noVBand="1"/>
      </w:tblPr>
      <w:tblGrid>
        <w:gridCol w:w="2512"/>
        <w:gridCol w:w="1386"/>
        <w:gridCol w:w="1554"/>
        <w:gridCol w:w="2237"/>
        <w:gridCol w:w="1569"/>
        <w:gridCol w:w="1374"/>
      </w:tblGrid>
      <w:tr w:rsidR="0095622B" w:rsidRPr="00396BF5" w:rsidTr="00396BF5">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bottom w:val="single" w:sz="4" w:space="0" w:color="auto"/>
            </w:tcBorders>
            <w:shd w:val="clear" w:color="auto" w:fill="auto"/>
          </w:tcPr>
          <w:p w:rsidR="0095622B" w:rsidRPr="00396BF5" w:rsidRDefault="0095622B" w:rsidP="001B7F2E">
            <w:pPr>
              <w:spacing w:after="0" w:line="240" w:lineRule="auto"/>
              <w:jc w:val="both"/>
              <w:rPr>
                <w:rFonts w:ascii="Palatino Linotype" w:hAnsi="Palatino Linotype" w:cs="Times New Roman"/>
                <w:b w:val="0"/>
                <w:sz w:val="20"/>
                <w:szCs w:val="20"/>
              </w:rPr>
            </w:pPr>
            <w:r w:rsidRPr="00396BF5">
              <w:rPr>
                <w:rFonts w:ascii="Palatino Linotype" w:hAnsi="Palatino Linotype" w:cs="Times New Roman"/>
                <w:b w:val="0"/>
                <w:sz w:val="20"/>
                <w:szCs w:val="20"/>
              </w:rPr>
              <w:lastRenderedPageBreak/>
              <w:t>Tableau I. Paramètres en rapport avec l’ancienneté et le nombre des bénéficiaires de la mutuelle par Zone de santé, Goma, Novembre 2023 </w:t>
            </w:r>
          </w:p>
        </w:tc>
      </w:tr>
      <w:tr w:rsidR="00396BF5" w:rsidRPr="00396BF5" w:rsidTr="00396BF5">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181" w:type="pct"/>
            <w:vMerge w:val="restart"/>
            <w:tcBorders>
              <w:top w:val="single" w:sz="4" w:space="0" w:color="auto"/>
              <w:bottom w:val="single" w:sz="4" w:space="0" w:color="auto"/>
            </w:tcBorders>
            <w:shd w:val="clear" w:color="auto" w:fill="auto"/>
          </w:tcPr>
          <w:p w:rsidR="0095622B" w:rsidRPr="00396BF5" w:rsidRDefault="0095622B" w:rsidP="001B7F2E">
            <w:pPr>
              <w:spacing w:after="0" w:line="240" w:lineRule="auto"/>
              <w:jc w:val="both"/>
              <w:rPr>
                <w:rFonts w:ascii="Palatino Linotype" w:hAnsi="Palatino Linotype" w:cs="Times New Roman"/>
                <w:b w:val="0"/>
                <w:sz w:val="20"/>
                <w:szCs w:val="20"/>
              </w:rPr>
            </w:pPr>
            <w:r w:rsidRPr="00396BF5">
              <w:rPr>
                <w:rFonts w:ascii="Palatino Linotype" w:hAnsi="Palatino Linotype" w:cs="Times New Roman"/>
                <w:b w:val="0"/>
                <w:sz w:val="20"/>
                <w:szCs w:val="20"/>
              </w:rPr>
              <w:t>Variable</w:t>
            </w:r>
          </w:p>
        </w:tc>
        <w:tc>
          <w:tcPr>
            <w:tcW w:w="652" w:type="pct"/>
            <w:vMerge w:val="restart"/>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Total (n=4)</w:t>
            </w:r>
          </w:p>
        </w:tc>
        <w:tc>
          <w:tcPr>
            <w:tcW w:w="1783" w:type="pct"/>
            <w:gridSpan w:val="2"/>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Zone de santé</w:t>
            </w:r>
          </w:p>
        </w:tc>
        <w:tc>
          <w:tcPr>
            <w:tcW w:w="738" w:type="pct"/>
            <w:vMerge w:val="restart"/>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Test exact de         Fisher</w:t>
            </w:r>
          </w:p>
        </w:tc>
        <w:tc>
          <w:tcPr>
            <w:tcW w:w="646" w:type="pct"/>
            <w:vMerge w:val="restart"/>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 xml:space="preserve">          P</w:t>
            </w:r>
          </w:p>
        </w:tc>
      </w:tr>
      <w:tr w:rsidR="0073724A" w:rsidRPr="00396BF5" w:rsidTr="0073724A">
        <w:trPr>
          <w:trHeight w:val="70"/>
        </w:trPr>
        <w:tc>
          <w:tcPr>
            <w:cnfStyle w:val="001000000000" w:firstRow="0" w:lastRow="0" w:firstColumn="1" w:lastColumn="0" w:oddVBand="0" w:evenVBand="0" w:oddHBand="0" w:evenHBand="0" w:firstRowFirstColumn="0" w:firstRowLastColumn="0" w:lastRowFirstColumn="0" w:lastRowLastColumn="0"/>
            <w:tcW w:w="1181" w:type="pct"/>
            <w:vMerge/>
            <w:tcBorders>
              <w:top w:val="single" w:sz="4" w:space="0" w:color="auto"/>
              <w:bottom w:val="single" w:sz="4" w:space="0" w:color="auto"/>
            </w:tcBorders>
            <w:shd w:val="clear" w:color="auto" w:fill="auto"/>
          </w:tcPr>
          <w:p w:rsidR="0095622B" w:rsidRPr="00396BF5" w:rsidRDefault="0095622B" w:rsidP="001B7F2E">
            <w:pPr>
              <w:spacing w:after="0" w:line="240" w:lineRule="auto"/>
              <w:jc w:val="both"/>
              <w:rPr>
                <w:rFonts w:ascii="Palatino Linotype" w:hAnsi="Palatino Linotype" w:cs="Times New Roman"/>
                <w:b w:val="0"/>
                <w:sz w:val="20"/>
                <w:szCs w:val="20"/>
              </w:rPr>
            </w:pPr>
          </w:p>
        </w:tc>
        <w:tc>
          <w:tcPr>
            <w:tcW w:w="652" w:type="pct"/>
            <w:vMerge/>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c>
          <w:tcPr>
            <w:tcW w:w="731" w:type="pct"/>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Goma</w:t>
            </w:r>
          </w:p>
        </w:tc>
        <w:tc>
          <w:tcPr>
            <w:tcW w:w="1052" w:type="pct"/>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Karisimbi</w:t>
            </w:r>
          </w:p>
        </w:tc>
        <w:tc>
          <w:tcPr>
            <w:tcW w:w="738" w:type="pct"/>
            <w:vMerge/>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c>
          <w:tcPr>
            <w:tcW w:w="646" w:type="pct"/>
            <w:vMerge/>
            <w:tcBorders>
              <w:top w:val="single" w:sz="4" w:space="0" w:color="auto"/>
              <w:bottom w:val="single" w:sz="4" w:space="0" w:color="auto"/>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r>
      <w:tr w:rsidR="00396BF5" w:rsidRPr="00396BF5" w:rsidTr="0073724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181" w:type="pct"/>
            <w:tcBorders>
              <w:top w:val="single" w:sz="4" w:space="0" w:color="auto"/>
              <w:bottom w:val="nil"/>
            </w:tcBorders>
            <w:shd w:val="clear" w:color="auto" w:fill="auto"/>
          </w:tcPr>
          <w:p w:rsidR="0095622B" w:rsidRPr="00396BF5" w:rsidRDefault="0095622B" w:rsidP="001B7F2E">
            <w:pPr>
              <w:spacing w:after="0" w:line="240" w:lineRule="auto"/>
              <w:jc w:val="both"/>
              <w:rPr>
                <w:rFonts w:ascii="Palatino Linotype" w:hAnsi="Palatino Linotype" w:cs="Times New Roman"/>
                <w:b w:val="0"/>
                <w:sz w:val="20"/>
                <w:szCs w:val="20"/>
              </w:rPr>
            </w:pPr>
            <w:r w:rsidRPr="00396BF5">
              <w:rPr>
                <w:rFonts w:ascii="Palatino Linotype" w:hAnsi="Palatino Linotype" w:cs="Times New Roman"/>
                <w:b w:val="0"/>
                <w:sz w:val="20"/>
                <w:szCs w:val="20"/>
              </w:rPr>
              <w:t>Ancienneté</w:t>
            </w:r>
          </w:p>
        </w:tc>
        <w:tc>
          <w:tcPr>
            <w:tcW w:w="652" w:type="pct"/>
            <w:tcBorders>
              <w:top w:val="single" w:sz="4" w:space="0" w:color="auto"/>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c>
          <w:tcPr>
            <w:tcW w:w="731" w:type="pct"/>
            <w:tcBorders>
              <w:top w:val="single" w:sz="4" w:space="0" w:color="auto"/>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c>
          <w:tcPr>
            <w:tcW w:w="1052" w:type="pct"/>
            <w:tcBorders>
              <w:top w:val="single" w:sz="4" w:space="0" w:color="auto"/>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c>
          <w:tcPr>
            <w:tcW w:w="738" w:type="pct"/>
            <w:tcBorders>
              <w:top w:val="single" w:sz="4" w:space="0" w:color="auto"/>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3,138</w:t>
            </w:r>
          </w:p>
        </w:tc>
        <w:tc>
          <w:tcPr>
            <w:tcW w:w="646" w:type="pct"/>
            <w:tcBorders>
              <w:top w:val="single" w:sz="4" w:space="0" w:color="auto"/>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 xml:space="preserve">        0,500</w:t>
            </w:r>
          </w:p>
        </w:tc>
      </w:tr>
      <w:tr w:rsidR="0095622B" w:rsidRPr="00396BF5" w:rsidTr="0073724A">
        <w:trPr>
          <w:trHeight w:val="66"/>
        </w:trPr>
        <w:tc>
          <w:tcPr>
            <w:cnfStyle w:val="001000000000" w:firstRow="0" w:lastRow="0" w:firstColumn="1" w:lastColumn="0" w:oddVBand="0" w:evenVBand="0" w:oddHBand="0" w:evenHBand="0" w:firstRowFirstColumn="0" w:firstRowLastColumn="0" w:lastRowFirstColumn="0" w:lastRowLastColumn="0"/>
            <w:tcW w:w="1181" w:type="pct"/>
            <w:tcBorders>
              <w:top w:val="nil"/>
            </w:tcBorders>
            <w:shd w:val="clear" w:color="auto" w:fill="auto"/>
          </w:tcPr>
          <w:p w:rsidR="0095622B" w:rsidRPr="00396BF5" w:rsidRDefault="0095622B" w:rsidP="00396BF5">
            <w:pPr>
              <w:spacing w:after="0" w:line="240" w:lineRule="auto"/>
              <w:ind w:left="322"/>
              <w:jc w:val="both"/>
              <w:rPr>
                <w:rFonts w:ascii="Palatino Linotype" w:hAnsi="Palatino Linotype" w:cs="Times New Roman"/>
                <w:b w:val="0"/>
                <w:sz w:val="20"/>
                <w:szCs w:val="20"/>
              </w:rPr>
            </w:pPr>
            <w:r w:rsidRPr="00396BF5">
              <w:rPr>
                <w:rFonts w:ascii="Palatino Linotype" w:hAnsi="Palatino Linotype" w:cs="Times New Roman"/>
                <w:b w:val="0"/>
                <w:sz w:val="20"/>
                <w:szCs w:val="20"/>
              </w:rPr>
              <w:t>≥ 9ans</w:t>
            </w:r>
          </w:p>
        </w:tc>
        <w:tc>
          <w:tcPr>
            <w:tcW w:w="652" w:type="pct"/>
            <w:tcBorders>
              <w:top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731" w:type="pct"/>
            <w:tcBorders>
              <w:top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1052" w:type="pct"/>
            <w:tcBorders>
              <w:top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0</w:t>
            </w:r>
          </w:p>
        </w:tc>
        <w:tc>
          <w:tcPr>
            <w:tcW w:w="738" w:type="pct"/>
            <w:tcBorders>
              <w:top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c>
          <w:tcPr>
            <w:tcW w:w="646" w:type="pct"/>
            <w:tcBorders>
              <w:top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r>
      <w:tr w:rsidR="00396BF5" w:rsidRPr="00396BF5" w:rsidTr="0073724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81" w:type="pct"/>
            <w:shd w:val="clear" w:color="auto" w:fill="auto"/>
          </w:tcPr>
          <w:p w:rsidR="0095622B" w:rsidRPr="00396BF5" w:rsidRDefault="0095622B" w:rsidP="00396BF5">
            <w:pPr>
              <w:spacing w:after="0" w:line="240" w:lineRule="auto"/>
              <w:ind w:left="322"/>
              <w:jc w:val="both"/>
              <w:rPr>
                <w:rFonts w:ascii="Palatino Linotype" w:hAnsi="Palatino Linotype" w:cs="Times New Roman"/>
                <w:b w:val="0"/>
                <w:sz w:val="20"/>
                <w:szCs w:val="20"/>
              </w:rPr>
            </w:pPr>
            <w:r w:rsidRPr="00396BF5">
              <w:rPr>
                <w:rFonts w:ascii="Palatino Linotype" w:hAnsi="Palatino Linotype" w:cs="Times New Roman"/>
                <w:b w:val="0"/>
                <w:sz w:val="20"/>
                <w:szCs w:val="20"/>
              </w:rPr>
              <w:t xml:space="preserve">Entre 7 et 8 ans </w:t>
            </w:r>
          </w:p>
        </w:tc>
        <w:tc>
          <w:tcPr>
            <w:tcW w:w="652"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731"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0</w:t>
            </w:r>
          </w:p>
        </w:tc>
        <w:tc>
          <w:tcPr>
            <w:tcW w:w="1052"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738"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c>
          <w:tcPr>
            <w:tcW w:w="646"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r>
      <w:tr w:rsidR="0095622B" w:rsidRPr="00396BF5" w:rsidTr="0073724A">
        <w:trPr>
          <w:trHeight w:val="47"/>
        </w:trPr>
        <w:tc>
          <w:tcPr>
            <w:cnfStyle w:val="001000000000" w:firstRow="0" w:lastRow="0" w:firstColumn="1" w:lastColumn="0" w:oddVBand="0" w:evenVBand="0" w:oddHBand="0" w:evenHBand="0" w:firstRowFirstColumn="0" w:firstRowLastColumn="0" w:lastRowFirstColumn="0" w:lastRowLastColumn="0"/>
            <w:tcW w:w="1181" w:type="pct"/>
            <w:shd w:val="clear" w:color="auto" w:fill="auto"/>
          </w:tcPr>
          <w:p w:rsidR="0095622B" w:rsidRPr="00396BF5" w:rsidRDefault="0095622B" w:rsidP="00396BF5">
            <w:pPr>
              <w:spacing w:after="0" w:line="240" w:lineRule="auto"/>
              <w:ind w:left="322"/>
              <w:jc w:val="both"/>
              <w:rPr>
                <w:rFonts w:ascii="Palatino Linotype" w:hAnsi="Palatino Linotype" w:cs="Times New Roman"/>
                <w:b w:val="0"/>
                <w:sz w:val="20"/>
                <w:szCs w:val="20"/>
              </w:rPr>
            </w:pPr>
            <w:r w:rsidRPr="00396BF5">
              <w:rPr>
                <w:rFonts w:ascii="Palatino Linotype" w:hAnsi="Palatino Linotype" w:cs="Times New Roman"/>
                <w:b w:val="0"/>
                <w:sz w:val="20"/>
                <w:szCs w:val="20"/>
              </w:rPr>
              <w:t>≤ 6ans</w:t>
            </w:r>
          </w:p>
        </w:tc>
        <w:tc>
          <w:tcPr>
            <w:tcW w:w="652"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2</w:t>
            </w:r>
          </w:p>
        </w:tc>
        <w:tc>
          <w:tcPr>
            <w:tcW w:w="731"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2</w:t>
            </w:r>
          </w:p>
        </w:tc>
        <w:tc>
          <w:tcPr>
            <w:tcW w:w="1052"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0</w:t>
            </w:r>
          </w:p>
        </w:tc>
        <w:tc>
          <w:tcPr>
            <w:tcW w:w="738"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c>
          <w:tcPr>
            <w:tcW w:w="646"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r>
      <w:tr w:rsidR="00396BF5" w:rsidRPr="00396BF5" w:rsidTr="0073724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833" w:type="pct"/>
            <w:gridSpan w:val="2"/>
            <w:shd w:val="clear" w:color="auto" w:fill="auto"/>
          </w:tcPr>
          <w:p w:rsidR="0095622B" w:rsidRPr="00396BF5" w:rsidRDefault="0095622B" w:rsidP="001B7F2E">
            <w:pPr>
              <w:spacing w:after="0" w:line="240" w:lineRule="auto"/>
              <w:jc w:val="both"/>
              <w:rPr>
                <w:rFonts w:ascii="Palatino Linotype" w:hAnsi="Palatino Linotype" w:cs="Times New Roman"/>
                <w:b w:val="0"/>
                <w:sz w:val="20"/>
                <w:szCs w:val="20"/>
              </w:rPr>
            </w:pPr>
            <w:r w:rsidRPr="00396BF5">
              <w:rPr>
                <w:rFonts w:ascii="Palatino Linotype" w:hAnsi="Palatino Linotype" w:cs="Times New Roman"/>
                <w:b w:val="0"/>
                <w:sz w:val="20"/>
                <w:szCs w:val="20"/>
              </w:rPr>
              <w:t>Nombre de bénéficiaires</w:t>
            </w:r>
          </w:p>
        </w:tc>
        <w:tc>
          <w:tcPr>
            <w:tcW w:w="731"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c>
          <w:tcPr>
            <w:tcW w:w="1052"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c>
          <w:tcPr>
            <w:tcW w:w="738"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3,138</w:t>
            </w:r>
          </w:p>
        </w:tc>
        <w:tc>
          <w:tcPr>
            <w:tcW w:w="646" w:type="pct"/>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 xml:space="preserve">       0,500</w:t>
            </w:r>
          </w:p>
        </w:tc>
      </w:tr>
      <w:tr w:rsidR="0095622B" w:rsidRPr="00396BF5" w:rsidTr="0073724A">
        <w:trPr>
          <w:trHeight w:val="47"/>
        </w:trPr>
        <w:tc>
          <w:tcPr>
            <w:cnfStyle w:val="001000000000" w:firstRow="0" w:lastRow="0" w:firstColumn="1" w:lastColumn="0" w:oddVBand="0" w:evenVBand="0" w:oddHBand="0" w:evenHBand="0" w:firstRowFirstColumn="0" w:firstRowLastColumn="0" w:lastRowFirstColumn="0" w:lastRowLastColumn="0"/>
            <w:tcW w:w="1181" w:type="pct"/>
            <w:shd w:val="clear" w:color="auto" w:fill="auto"/>
          </w:tcPr>
          <w:p w:rsidR="0095622B" w:rsidRPr="00396BF5" w:rsidRDefault="0095622B" w:rsidP="00396BF5">
            <w:pPr>
              <w:spacing w:after="0" w:line="240" w:lineRule="auto"/>
              <w:ind w:left="322"/>
              <w:jc w:val="both"/>
              <w:rPr>
                <w:rFonts w:ascii="Palatino Linotype" w:hAnsi="Palatino Linotype" w:cs="Times New Roman"/>
                <w:b w:val="0"/>
                <w:sz w:val="20"/>
                <w:szCs w:val="20"/>
              </w:rPr>
            </w:pPr>
            <w:r w:rsidRPr="00396BF5">
              <w:rPr>
                <w:rFonts w:ascii="Palatino Linotype" w:hAnsi="Palatino Linotype" w:cs="Times New Roman"/>
                <w:b w:val="0"/>
                <w:sz w:val="20"/>
                <w:szCs w:val="20"/>
              </w:rPr>
              <w:t>≤ 500</w:t>
            </w:r>
          </w:p>
        </w:tc>
        <w:tc>
          <w:tcPr>
            <w:tcW w:w="652"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2</w:t>
            </w:r>
          </w:p>
        </w:tc>
        <w:tc>
          <w:tcPr>
            <w:tcW w:w="731"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2</w:t>
            </w:r>
          </w:p>
        </w:tc>
        <w:tc>
          <w:tcPr>
            <w:tcW w:w="1052"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0</w:t>
            </w:r>
          </w:p>
        </w:tc>
        <w:tc>
          <w:tcPr>
            <w:tcW w:w="738"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c>
          <w:tcPr>
            <w:tcW w:w="646" w:type="pct"/>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r>
      <w:tr w:rsidR="00396BF5" w:rsidRPr="00396BF5" w:rsidTr="0073724A">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181" w:type="pct"/>
            <w:tcBorders>
              <w:bottom w:val="nil"/>
            </w:tcBorders>
            <w:shd w:val="clear" w:color="auto" w:fill="auto"/>
          </w:tcPr>
          <w:p w:rsidR="0095622B" w:rsidRPr="00396BF5" w:rsidRDefault="0095622B" w:rsidP="00396BF5">
            <w:pPr>
              <w:spacing w:after="0" w:line="240" w:lineRule="auto"/>
              <w:ind w:left="322"/>
              <w:jc w:val="both"/>
              <w:rPr>
                <w:rFonts w:ascii="Palatino Linotype" w:hAnsi="Palatino Linotype" w:cs="Times New Roman"/>
                <w:b w:val="0"/>
                <w:sz w:val="20"/>
                <w:szCs w:val="20"/>
              </w:rPr>
            </w:pPr>
            <w:r w:rsidRPr="00396BF5">
              <w:rPr>
                <w:rFonts w:ascii="Palatino Linotype" w:hAnsi="Palatino Linotype" w:cs="Times New Roman"/>
                <w:b w:val="0"/>
                <w:sz w:val="20"/>
                <w:szCs w:val="20"/>
              </w:rPr>
              <w:t>2501-2600</w:t>
            </w:r>
          </w:p>
        </w:tc>
        <w:tc>
          <w:tcPr>
            <w:tcW w:w="652" w:type="pct"/>
            <w:tcBorders>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731" w:type="pct"/>
            <w:tcBorders>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0</w:t>
            </w:r>
          </w:p>
        </w:tc>
        <w:tc>
          <w:tcPr>
            <w:tcW w:w="1052" w:type="pct"/>
            <w:tcBorders>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738" w:type="pct"/>
            <w:tcBorders>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c>
          <w:tcPr>
            <w:tcW w:w="646" w:type="pct"/>
            <w:tcBorders>
              <w:bottom w:val="nil"/>
            </w:tcBorders>
            <w:shd w:val="clear" w:color="auto" w:fill="auto"/>
          </w:tcPr>
          <w:p w:rsidR="0095622B" w:rsidRPr="00396BF5" w:rsidRDefault="0095622B" w:rsidP="001B7F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p>
        </w:tc>
      </w:tr>
      <w:tr w:rsidR="0073724A" w:rsidRPr="00396BF5" w:rsidTr="0073724A">
        <w:trPr>
          <w:trHeight w:val="47"/>
        </w:trPr>
        <w:tc>
          <w:tcPr>
            <w:cnfStyle w:val="001000000000" w:firstRow="0" w:lastRow="0" w:firstColumn="1" w:lastColumn="0" w:oddVBand="0" w:evenVBand="0" w:oddHBand="0" w:evenHBand="0" w:firstRowFirstColumn="0" w:firstRowLastColumn="0" w:lastRowFirstColumn="0" w:lastRowLastColumn="0"/>
            <w:tcW w:w="1181" w:type="pct"/>
            <w:tcBorders>
              <w:top w:val="nil"/>
              <w:bottom w:val="nil"/>
            </w:tcBorders>
            <w:shd w:val="clear" w:color="auto" w:fill="auto"/>
          </w:tcPr>
          <w:p w:rsidR="0095622B" w:rsidRPr="00396BF5" w:rsidRDefault="0095622B" w:rsidP="00396BF5">
            <w:pPr>
              <w:spacing w:after="0" w:line="240" w:lineRule="auto"/>
              <w:ind w:left="322"/>
              <w:jc w:val="both"/>
              <w:rPr>
                <w:rFonts w:ascii="Palatino Linotype" w:hAnsi="Palatino Linotype" w:cs="Times New Roman"/>
                <w:b w:val="0"/>
                <w:sz w:val="20"/>
                <w:szCs w:val="20"/>
              </w:rPr>
            </w:pPr>
            <w:r w:rsidRPr="00396BF5">
              <w:rPr>
                <w:rFonts w:ascii="Palatino Linotype" w:hAnsi="Palatino Linotype" w:cs="Times New Roman"/>
                <w:b w:val="0"/>
                <w:sz w:val="20"/>
                <w:szCs w:val="20"/>
              </w:rPr>
              <w:t>&gt;2600</w:t>
            </w:r>
          </w:p>
        </w:tc>
        <w:tc>
          <w:tcPr>
            <w:tcW w:w="652" w:type="pct"/>
            <w:tcBorders>
              <w:top w:val="nil"/>
              <w:bottom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731" w:type="pct"/>
            <w:tcBorders>
              <w:top w:val="nil"/>
              <w:bottom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1</w:t>
            </w:r>
          </w:p>
        </w:tc>
        <w:tc>
          <w:tcPr>
            <w:tcW w:w="1052" w:type="pct"/>
            <w:tcBorders>
              <w:top w:val="nil"/>
              <w:bottom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396BF5">
              <w:rPr>
                <w:rFonts w:ascii="Palatino Linotype" w:hAnsi="Palatino Linotype" w:cs="Times New Roman"/>
                <w:sz w:val="20"/>
                <w:szCs w:val="20"/>
              </w:rPr>
              <w:t>0</w:t>
            </w:r>
          </w:p>
        </w:tc>
        <w:tc>
          <w:tcPr>
            <w:tcW w:w="738" w:type="pct"/>
            <w:tcBorders>
              <w:top w:val="nil"/>
              <w:bottom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c>
          <w:tcPr>
            <w:tcW w:w="646" w:type="pct"/>
            <w:tcBorders>
              <w:top w:val="nil"/>
              <w:bottom w:val="nil"/>
            </w:tcBorders>
            <w:shd w:val="clear" w:color="auto" w:fill="auto"/>
          </w:tcPr>
          <w:p w:rsidR="0095622B" w:rsidRPr="00396BF5" w:rsidRDefault="0095622B" w:rsidP="001B7F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p>
        </w:tc>
      </w:tr>
    </w:tbl>
    <w:p w:rsidR="00C37303" w:rsidRDefault="00C37303" w:rsidP="00A82282">
      <w:pPr>
        <w:pBdr>
          <w:top w:val="single" w:sz="4" w:space="1" w:color="auto"/>
        </w:pBdr>
        <w:spacing w:after="0"/>
      </w:pPr>
    </w:p>
    <w:tbl>
      <w:tblPr>
        <w:tblStyle w:val="TableauListe6Couleur1"/>
        <w:tblW w:w="5000" w:type="pct"/>
        <w:tblLook w:val="04A0" w:firstRow="1" w:lastRow="0" w:firstColumn="1" w:lastColumn="0" w:noHBand="0" w:noVBand="1"/>
      </w:tblPr>
      <w:tblGrid>
        <w:gridCol w:w="3063"/>
        <w:gridCol w:w="1310"/>
        <w:gridCol w:w="1479"/>
        <w:gridCol w:w="1629"/>
        <w:gridCol w:w="1727"/>
        <w:gridCol w:w="1424"/>
      </w:tblGrid>
      <w:tr w:rsidR="00C37303" w:rsidRPr="00396BF5" w:rsidTr="00396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tcBorders>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cs="Times New Roman"/>
                <w:b w:val="0"/>
                <w:sz w:val="20"/>
                <w:szCs w:val="20"/>
              </w:rPr>
              <w:t xml:space="preserve">Tableau </w:t>
            </w:r>
            <w:r w:rsidRPr="00396BF5">
              <w:rPr>
                <w:rFonts w:ascii="Palatino Linotype" w:hAnsi="Palatino Linotype" w:cs="Times New Roman"/>
                <w:sz w:val="20"/>
                <w:szCs w:val="20"/>
              </w:rPr>
              <w:fldChar w:fldCharType="begin"/>
            </w:r>
            <w:r w:rsidRPr="00396BF5">
              <w:rPr>
                <w:rFonts w:ascii="Palatino Linotype" w:hAnsi="Palatino Linotype" w:cs="Times New Roman"/>
                <w:b w:val="0"/>
                <w:sz w:val="20"/>
                <w:szCs w:val="20"/>
              </w:rPr>
              <w:instrText xml:space="preserve"> SEQ Tableau \* ROMAN </w:instrText>
            </w:r>
            <w:r w:rsidRPr="00396BF5">
              <w:rPr>
                <w:rFonts w:ascii="Palatino Linotype" w:hAnsi="Palatino Linotype" w:cs="Times New Roman"/>
                <w:sz w:val="20"/>
                <w:szCs w:val="20"/>
              </w:rPr>
              <w:fldChar w:fldCharType="separate"/>
            </w:r>
            <w:r w:rsidRPr="00396BF5">
              <w:rPr>
                <w:rFonts w:ascii="Palatino Linotype" w:hAnsi="Palatino Linotype" w:cs="Times New Roman"/>
                <w:b w:val="0"/>
                <w:sz w:val="20"/>
                <w:szCs w:val="20"/>
              </w:rPr>
              <w:t>II</w:t>
            </w:r>
            <w:r w:rsidRPr="00396BF5">
              <w:rPr>
                <w:rFonts w:ascii="Palatino Linotype" w:hAnsi="Palatino Linotype" w:cs="Times New Roman"/>
                <w:sz w:val="20"/>
                <w:szCs w:val="20"/>
              </w:rPr>
              <w:fldChar w:fldCharType="end"/>
            </w:r>
            <w:r w:rsidRPr="00396BF5">
              <w:rPr>
                <w:rFonts w:ascii="Palatino Linotype" w:hAnsi="Palatino Linotype" w:cs="Times New Roman"/>
                <w:b w:val="0"/>
                <w:sz w:val="20"/>
                <w:szCs w:val="20"/>
              </w:rPr>
              <w:t>. Cotes aux items concernant la viabilité institutionnelle par mutuelle de santé</w:t>
            </w:r>
          </w:p>
        </w:tc>
      </w:tr>
      <w:tr w:rsidR="00396BF5" w:rsidRPr="00396BF5" w:rsidTr="00396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pct"/>
            <w:tcBorders>
              <w:bottom w:val="single" w:sz="4" w:space="0" w:color="auto"/>
            </w:tcBorders>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Variables(Items)</w:t>
            </w:r>
          </w:p>
        </w:tc>
        <w:tc>
          <w:tcPr>
            <w:tcW w:w="153" w:type="pct"/>
            <w:tcBorders>
              <w:bottom w:val="single" w:sz="4" w:space="0" w:color="auto"/>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MUSACOM</w:t>
            </w:r>
          </w:p>
        </w:tc>
        <w:tc>
          <w:tcPr>
            <w:tcW w:w="713" w:type="pct"/>
            <w:tcBorders>
              <w:bottom w:val="single" w:sz="4" w:space="0" w:color="auto"/>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MUSANOVIE</w:t>
            </w:r>
          </w:p>
        </w:tc>
        <w:tc>
          <w:tcPr>
            <w:tcW w:w="934" w:type="pct"/>
            <w:tcBorders>
              <w:bottom w:val="single" w:sz="4" w:space="0" w:color="auto"/>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SAINT RAPHAEL</w:t>
            </w:r>
          </w:p>
        </w:tc>
        <w:tc>
          <w:tcPr>
            <w:tcW w:w="905" w:type="pct"/>
            <w:tcBorders>
              <w:bottom w:val="single" w:sz="4" w:space="0" w:color="auto"/>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SANTE POUR TOUS</w:t>
            </w:r>
          </w:p>
        </w:tc>
        <w:tc>
          <w:tcPr>
            <w:tcW w:w="762" w:type="pct"/>
            <w:tcBorders>
              <w:bottom w:val="single" w:sz="4" w:space="0" w:color="auto"/>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Moyenne d’ensemble</w:t>
            </w:r>
          </w:p>
        </w:tc>
      </w:tr>
      <w:tr w:rsidR="0095622B" w:rsidRPr="00396BF5" w:rsidTr="00396BF5">
        <w:trPr>
          <w:trHeight w:val="269"/>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bottom w:val="nil"/>
            </w:tcBorders>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Document légal autorisant la création de la mutuelle existe (statuts et ROI)</w:t>
            </w:r>
          </w:p>
        </w:tc>
        <w:tc>
          <w:tcPr>
            <w:tcW w:w="153" w:type="pct"/>
            <w:tcBorders>
              <w:top w:val="single" w:sz="4" w:space="0" w:color="auto"/>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13" w:type="pct"/>
            <w:tcBorders>
              <w:top w:val="single" w:sz="4" w:space="0" w:color="auto"/>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34" w:type="pct"/>
            <w:tcBorders>
              <w:top w:val="single" w:sz="4" w:space="0" w:color="auto"/>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05" w:type="pct"/>
            <w:tcBorders>
              <w:top w:val="single" w:sz="4" w:space="0" w:color="auto"/>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62" w:type="pct"/>
            <w:tcBorders>
              <w:top w:val="single" w:sz="4" w:space="0" w:color="auto"/>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r>
      <w:tr w:rsidR="00396BF5" w:rsidRPr="00396BF5" w:rsidTr="00396BF5">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533" w:type="pct"/>
            <w:tcBorders>
              <w:top w:val="nil"/>
            </w:tcBorders>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 xml:space="preserve">Document légal autorisant  le Fonctionnement </w:t>
            </w:r>
          </w:p>
        </w:tc>
        <w:tc>
          <w:tcPr>
            <w:tcW w:w="153" w:type="pct"/>
            <w:tcBorders>
              <w:top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713" w:type="pct"/>
            <w:tcBorders>
              <w:top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0,6</w:t>
            </w:r>
          </w:p>
        </w:tc>
        <w:tc>
          <w:tcPr>
            <w:tcW w:w="934" w:type="pct"/>
            <w:tcBorders>
              <w:top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905" w:type="pct"/>
            <w:tcBorders>
              <w:top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0,6</w:t>
            </w:r>
          </w:p>
        </w:tc>
        <w:tc>
          <w:tcPr>
            <w:tcW w:w="762" w:type="pct"/>
            <w:tcBorders>
              <w:top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0,3</w:t>
            </w:r>
          </w:p>
        </w:tc>
      </w:tr>
      <w:tr w:rsidR="0095622B" w:rsidRPr="00396BF5" w:rsidTr="00396BF5">
        <w:tc>
          <w:tcPr>
            <w:cnfStyle w:val="001000000000" w:firstRow="0" w:lastRow="0" w:firstColumn="1" w:lastColumn="0" w:oddVBand="0" w:evenVBand="0" w:oddHBand="0" w:evenHBand="0" w:firstRowFirstColumn="0" w:firstRowLastColumn="0" w:lastRowFirstColumn="0" w:lastRowLastColumn="0"/>
            <w:tcW w:w="1533" w:type="pct"/>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Affiliation a une association des mutuelles</w:t>
            </w:r>
          </w:p>
        </w:tc>
        <w:tc>
          <w:tcPr>
            <w:tcW w:w="153"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713"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34"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905"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762"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0,25</w:t>
            </w:r>
          </w:p>
        </w:tc>
      </w:tr>
      <w:tr w:rsidR="00396BF5" w:rsidRPr="00396BF5" w:rsidTr="00396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pct"/>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Compte bancaire avec deux ou trois signataire</w:t>
            </w:r>
          </w:p>
        </w:tc>
        <w:tc>
          <w:tcPr>
            <w:tcW w:w="153"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13"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34"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05"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62"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r>
      <w:tr w:rsidR="0095622B" w:rsidRPr="00396BF5" w:rsidTr="00396BF5">
        <w:tc>
          <w:tcPr>
            <w:cnfStyle w:val="001000000000" w:firstRow="0" w:lastRow="0" w:firstColumn="1" w:lastColumn="0" w:oddVBand="0" w:evenVBand="0" w:oddHBand="0" w:evenHBand="0" w:firstRowFirstColumn="0" w:firstRowLastColumn="0" w:lastRowFirstColumn="0" w:lastRowLastColumn="0"/>
            <w:tcW w:w="1533" w:type="pct"/>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Organigramme</w:t>
            </w:r>
          </w:p>
        </w:tc>
        <w:tc>
          <w:tcPr>
            <w:tcW w:w="153"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13"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34"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05"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62"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r>
      <w:tr w:rsidR="00396BF5" w:rsidRPr="00396BF5" w:rsidTr="00396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pct"/>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Manuel de procédure</w:t>
            </w:r>
          </w:p>
        </w:tc>
        <w:tc>
          <w:tcPr>
            <w:tcW w:w="153"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13"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34"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05"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762" w:type="pct"/>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0,75</w:t>
            </w:r>
          </w:p>
        </w:tc>
      </w:tr>
      <w:tr w:rsidR="0095622B" w:rsidRPr="00396BF5" w:rsidTr="00396BF5">
        <w:tc>
          <w:tcPr>
            <w:cnfStyle w:val="001000000000" w:firstRow="0" w:lastRow="0" w:firstColumn="1" w:lastColumn="0" w:oddVBand="0" w:evenVBand="0" w:oddHBand="0" w:evenHBand="0" w:firstRowFirstColumn="0" w:firstRowLastColumn="0" w:lastRowFirstColumn="0" w:lastRowLastColumn="0"/>
            <w:tcW w:w="1533" w:type="pct"/>
            <w:shd w:val="clear" w:color="auto" w:fill="auto"/>
          </w:tcPr>
          <w:p w:rsidR="00C37303" w:rsidRPr="00396BF5" w:rsidRDefault="00C37303"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Rapport de l’étude de faisabilité</w:t>
            </w:r>
          </w:p>
        </w:tc>
        <w:tc>
          <w:tcPr>
            <w:tcW w:w="153"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713"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1</w:t>
            </w:r>
          </w:p>
        </w:tc>
        <w:tc>
          <w:tcPr>
            <w:tcW w:w="934"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905"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w:t>
            </w:r>
          </w:p>
        </w:tc>
        <w:tc>
          <w:tcPr>
            <w:tcW w:w="762" w:type="pct"/>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0,5</w:t>
            </w:r>
          </w:p>
        </w:tc>
      </w:tr>
      <w:tr w:rsidR="00396BF5" w:rsidRPr="00396BF5" w:rsidTr="00396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pct"/>
            <w:tcBorders>
              <w:bottom w:val="nil"/>
            </w:tcBorders>
            <w:shd w:val="clear" w:color="auto" w:fill="auto"/>
          </w:tcPr>
          <w:p w:rsidR="00C37303" w:rsidRPr="00396BF5" w:rsidRDefault="0095622B" w:rsidP="001B7F2E">
            <w:pPr>
              <w:spacing w:after="0" w:line="240" w:lineRule="auto"/>
              <w:rPr>
                <w:rFonts w:ascii="Palatino Linotype" w:hAnsi="Palatino Linotype"/>
                <w:b w:val="0"/>
                <w:sz w:val="20"/>
                <w:szCs w:val="20"/>
              </w:rPr>
            </w:pPr>
            <w:r w:rsidRPr="00396BF5">
              <w:rPr>
                <w:rFonts w:ascii="Palatino Linotype" w:hAnsi="Palatino Linotype"/>
                <w:b w:val="0"/>
                <w:sz w:val="20"/>
                <w:szCs w:val="20"/>
              </w:rPr>
              <w:t>côte globale sur 7</w:t>
            </w:r>
          </w:p>
        </w:tc>
        <w:tc>
          <w:tcPr>
            <w:tcW w:w="153" w:type="pct"/>
            <w:tcBorders>
              <w:bottom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5</w:t>
            </w:r>
          </w:p>
        </w:tc>
        <w:tc>
          <w:tcPr>
            <w:tcW w:w="713" w:type="pct"/>
            <w:tcBorders>
              <w:bottom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6,6</w:t>
            </w:r>
          </w:p>
        </w:tc>
        <w:tc>
          <w:tcPr>
            <w:tcW w:w="934" w:type="pct"/>
            <w:tcBorders>
              <w:bottom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4</w:t>
            </w:r>
          </w:p>
        </w:tc>
        <w:tc>
          <w:tcPr>
            <w:tcW w:w="905" w:type="pct"/>
            <w:tcBorders>
              <w:bottom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3,6</w:t>
            </w:r>
          </w:p>
        </w:tc>
        <w:tc>
          <w:tcPr>
            <w:tcW w:w="762" w:type="pct"/>
            <w:tcBorders>
              <w:bottom w:val="nil"/>
            </w:tcBorders>
            <w:shd w:val="clear" w:color="auto" w:fill="auto"/>
          </w:tcPr>
          <w:p w:rsidR="00C37303" w:rsidRPr="00396BF5" w:rsidRDefault="00C37303"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4,8</w:t>
            </w:r>
          </w:p>
        </w:tc>
      </w:tr>
      <w:tr w:rsidR="0095622B" w:rsidRPr="00396BF5" w:rsidTr="00396BF5">
        <w:trPr>
          <w:trHeight w:val="47"/>
        </w:trPr>
        <w:tc>
          <w:tcPr>
            <w:cnfStyle w:val="001000000000" w:firstRow="0" w:lastRow="0" w:firstColumn="1" w:lastColumn="0" w:oddVBand="0" w:evenVBand="0" w:oddHBand="0" w:evenHBand="0" w:firstRowFirstColumn="0" w:firstRowLastColumn="0" w:lastRowFirstColumn="0" w:lastRowLastColumn="0"/>
            <w:tcW w:w="1533" w:type="pct"/>
            <w:tcBorders>
              <w:top w:val="nil"/>
              <w:bottom w:val="nil"/>
            </w:tcBorders>
            <w:shd w:val="clear" w:color="auto" w:fill="auto"/>
          </w:tcPr>
          <w:p w:rsidR="00C37303" w:rsidRPr="00396BF5" w:rsidRDefault="00C37303" w:rsidP="0095622B">
            <w:pPr>
              <w:spacing w:after="0" w:line="240" w:lineRule="auto"/>
              <w:rPr>
                <w:rFonts w:ascii="Palatino Linotype" w:hAnsi="Palatino Linotype"/>
                <w:b w:val="0"/>
                <w:sz w:val="20"/>
                <w:szCs w:val="20"/>
              </w:rPr>
            </w:pPr>
            <w:r w:rsidRPr="00396BF5">
              <w:rPr>
                <w:rFonts w:ascii="Palatino Linotype" w:hAnsi="Palatino Linotype"/>
                <w:b w:val="0"/>
                <w:sz w:val="20"/>
                <w:szCs w:val="20"/>
              </w:rPr>
              <w:t>P</w:t>
            </w:r>
            <w:r w:rsidR="0095622B" w:rsidRPr="00396BF5">
              <w:rPr>
                <w:rFonts w:ascii="Palatino Linotype" w:hAnsi="Palatino Linotype"/>
                <w:b w:val="0"/>
                <w:sz w:val="20"/>
                <w:szCs w:val="20"/>
              </w:rPr>
              <w:t>ourcentage</w:t>
            </w:r>
          </w:p>
        </w:tc>
        <w:tc>
          <w:tcPr>
            <w:tcW w:w="153" w:type="pct"/>
            <w:tcBorders>
              <w:top w:val="nil"/>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71,4%</w:t>
            </w:r>
          </w:p>
        </w:tc>
        <w:tc>
          <w:tcPr>
            <w:tcW w:w="713" w:type="pct"/>
            <w:tcBorders>
              <w:top w:val="nil"/>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94,2%</w:t>
            </w:r>
          </w:p>
        </w:tc>
        <w:tc>
          <w:tcPr>
            <w:tcW w:w="934" w:type="pct"/>
            <w:tcBorders>
              <w:top w:val="nil"/>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57,1%</w:t>
            </w:r>
          </w:p>
        </w:tc>
        <w:tc>
          <w:tcPr>
            <w:tcW w:w="905" w:type="pct"/>
            <w:tcBorders>
              <w:top w:val="nil"/>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51,4%</w:t>
            </w:r>
          </w:p>
        </w:tc>
        <w:tc>
          <w:tcPr>
            <w:tcW w:w="762" w:type="pct"/>
            <w:tcBorders>
              <w:top w:val="nil"/>
              <w:bottom w:val="nil"/>
            </w:tcBorders>
            <w:shd w:val="clear" w:color="auto" w:fill="auto"/>
          </w:tcPr>
          <w:p w:rsidR="00C37303" w:rsidRPr="00396BF5" w:rsidRDefault="00C37303"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6BF5">
              <w:rPr>
                <w:rFonts w:ascii="Palatino Linotype" w:hAnsi="Palatino Linotype"/>
                <w:sz w:val="20"/>
                <w:szCs w:val="20"/>
              </w:rPr>
              <w:t>68 ,5%</w:t>
            </w:r>
          </w:p>
        </w:tc>
      </w:tr>
    </w:tbl>
    <w:p w:rsidR="00C37303" w:rsidRDefault="00C37303" w:rsidP="001D4C9F">
      <w:pPr>
        <w:pBdr>
          <w:top w:val="single" w:sz="4" w:space="1" w:color="auto"/>
        </w:pBdr>
        <w:spacing w:after="0"/>
      </w:pPr>
    </w:p>
    <w:tbl>
      <w:tblPr>
        <w:tblStyle w:val="TableauListe6Couleur1"/>
        <w:tblW w:w="5000" w:type="pct"/>
        <w:tblLook w:val="04A0" w:firstRow="1" w:lastRow="0" w:firstColumn="1" w:lastColumn="0" w:noHBand="0" w:noVBand="1"/>
      </w:tblPr>
      <w:tblGrid>
        <w:gridCol w:w="3490"/>
        <w:gridCol w:w="1312"/>
        <w:gridCol w:w="1803"/>
        <w:gridCol w:w="1452"/>
        <w:gridCol w:w="1301"/>
        <w:gridCol w:w="1274"/>
      </w:tblGrid>
      <w:tr w:rsidR="00E47DB2" w:rsidRPr="006E6049" w:rsidTr="006E6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cs="Times New Roman"/>
                <w:b w:val="0"/>
                <w:sz w:val="20"/>
                <w:szCs w:val="20"/>
              </w:rPr>
              <w:t xml:space="preserve">Tableau </w:t>
            </w:r>
            <w:r w:rsidRPr="006E6049">
              <w:rPr>
                <w:rFonts w:ascii="Palatino Linotype" w:hAnsi="Palatino Linotype" w:cs="Times New Roman"/>
                <w:sz w:val="20"/>
                <w:szCs w:val="20"/>
              </w:rPr>
              <w:fldChar w:fldCharType="begin"/>
            </w:r>
            <w:r w:rsidRPr="006E6049">
              <w:rPr>
                <w:rFonts w:ascii="Palatino Linotype" w:hAnsi="Palatino Linotype" w:cs="Times New Roman"/>
                <w:b w:val="0"/>
                <w:sz w:val="20"/>
                <w:szCs w:val="20"/>
              </w:rPr>
              <w:instrText xml:space="preserve"> SEQ Tableau \* ROMAN </w:instrText>
            </w:r>
            <w:r w:rsidRPr="006E6049">
              <w:rPr>
                <w:rFonts w:ascii="Palatino Linotype" w:hAnsi="Palatino Linotype" w:cs="Times New Roman"/>
                <w:sz w:val="20"/>
                <w:szCs w:val="20"/>
              </w:rPr>
              <w:fldChar w:fldCharType="separate"/>
            </w:r>
            <w:r w:rsidRPr="006E6049">
              <w:rPr>
                <w:rFonts w:ascii="Palatino Linotype" w:hAnsi="Palatino Linotype" w:cs="Times New Roman"/>
                <w:b w:val="0"/>
                <w:sz w:val="20"/>
                <w:szCs w:val="20"/>
              </w:rPr>
              <w:t>III</w:t>
            </w:r>
            <w:r w:rsidRPr="006E6049">
              <w:rPr>
                <w:rFonts w:ascii="Palatino Linotype" w:hAnsi="Palatino Linotype" w:cs="Times New Roman"/>
                <w:sz w:val="20"/>
                <w:szCs w:val="20"/>
              </w:rPr>
              <w:fldChar w:fldCharType="end"/>
            </w:r>
            <w:r w:rsidRPr="006E6049">
              <w:rPr>
                <w:rFonts w:ascii="Palatino Linotype" w:hAnsi="Palatino Linotype" w:cs="Times New Roman"/>
                <w:b w:val="0"/>
                <w:sz w:val="20"/>
                <w:szCs w:val="20"/>
              </w:rPr>
              <w:t>. Cotes aux items concernant la viabilité administrative par mutuelle de santé</w:t>
            </w:r>
          </w:p>
        </w:tc>
      </w:tr>
      <w:tr w:rsidR="001D4C9F" w:rsidRPr="006E6049" w:rsidTr="006E6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pct"/>
            <w:tcBorders>
              <w:bottom w:val="single" w:sz="4" w:space="0" w:color="auto"/>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Variables(Items)</w:t>
            </w:r>
          </w:p>
        </w:tc>
        <w:tc>
          <w:tcPr>
            <w:tcW w:w="617" w:type="pct"/>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MUSACOM</w:t>
            </w:r>
          </w:p>
        </w:tc>
        <w:tc>
          <w:tcPr>
            <w:tcW w:w="848" w:type="pct"/>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MUSANOVIE</w:t>
            </w:r>
          </w:p>
        </w:tc>
        <w:tc>
          <w:tcPr>
            <w:tcW w:w="683" w:type="pct"/>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SAINT RAPHAEL</w:t>
            </w:r>
          </w:p>
        </w:tc>
        <w:tc>
          <w:tcPr>
            <w:tcW w:w="612" w:type="pct"/>
            <w:tcBorders>
              <w:bottom w:val="single" w:sz="4" w:space="0" w:color="auto"/>
            </w:tcBorders>
            <w:shd w:val="clear" w:color="auto" w:fill="auto"/>
          </w:tcPr>
          <w:p w:rsidR="00E47DB2" w:rsidRPr="006E6049" w:rsidRDefault="00E47DB2" w:rsidP="001D4C9F">
            <w:pPr>
              <w:spacing w:after="0" w:line="240" w:lineRule="auto"/>
              <w:ind w:right="-105"/>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SANTE POUR TOUS</w:t>
            </w:r>
          </w:p>
        </w:tc>
        <w:tc>
          <w:tcPr>
            <w:tcW w:w="598" w:type="pct"/>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Moyenne d’ensemble</w:t>
            </w:r>
          </w:p>
        </w:tc>
      </w:tr>
      <w:tr w:rsidR="001D4C9F" w:rsidRPr="006E6049" w:rsidTr="006E6049">
        <w:trPr>
          <w:trHeight w:val="193"/>
        </w:trPr>
        <w:tc>
          <w:tcPr>
            <w:cnfStyle w:val="001000000000" w:firstRow="0" w:lastRow="0" w:firstColumn="1" w:lastColumn="0" w:oddVBand="0" w:evenVBand="0" w:oddHBand="0" w:evenHBand="0" w:firstRowFirstColumn="0" w:firstRowLastColumn="0" w:lastRowFirstColumn="0" w:lastRowLastColumn="0"/>
            <w:tcW w:w="1641" w:type="pct"/>
            <w:tcBorders>
              <w:top w:val="single" w:sz="4" w:space="0" w:color="auto"/>
              <w:bottom w:val="nil"/>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Outils de gestion et de suivi des adhésions disponibles</w:t>
            </w:r>
          </w:p>
        </w:tc>
        <w:tc>
          <w:tcPr>
            <w:tcW w:w="617" w:type="pct"/>
            <w:tcBorders>
              <w:top w:val="single" w:sz="4" w:space="0" w:color="auto"/>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0,3</w:t>
            </w:r>
          </w:p>
        </w:tc>
        <w:tc>
          <w:tcPr>
            <w:tcW w:w="848" w:type="pct"/>
            <w:tcBorders>
              <w:top w:val="single" w:sz="4" w:space="0" w:color="auto"/>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1</w:t>
            </w:r>
          </w:p>
        </w:tc>
        <w:tc>
          <w:tcPr>
            <w:tcW w:w="683" w:type="pct"/>
            <w:tcBorders>
              <w:top w:val="single" w:sz="4" w:space="0" w:color="auto"/>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0,3</w:t>
            </w:r>
          </w:p>
        </w:tc>
        <w:tc>
          <w:tcPr>
            <w:tcW w:w="612" w:type="pct"/>
            <w:tcBorders>
              <w:top w:val="single" w:sz="4" w:space="0" w:color="auto"/>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0,3</w:t>
            </w:r>
          </w:p>
        </w:tc>
        <w:tc>
          <w:tcPr>
            <w:tcW w:w="598" w:type="pct"/>
            <w:tcBorders>
              <w:top w:val="single" w:sz="4" w:space="0" w:color="auto"/>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0,47</w:t>
            </w:r>
          </w:p>
        </w:tc>
      </w:tr>
      <w:tr w:rsidR="001D4C9F" w:rsidRPr="006E6049" w:rsidTr="006E604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641" w:type="pct"/>
            <w:tcBorders>
              <w:top w:val="nil"/>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 xml:space="preserve"> outils de gestion et de suivi des adhésions utilisés</w:t>
            </w:r>
          </w:p>
        </w:tc>
        <w:tc>
          <w:tcPr>
            <w:tcW w:w="617" w:type="pct"/>
            <w:tcBorders>
              <w:top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0,7</w:t>
            </w:r>
          </w:p>
        </w:tc>
        <w:tc>
          <w:tcPr>
            <w:tcW w:w="848" w:type="pct"/>
            <w:tcBorders>
              <w:top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0,7</w:t>
            </w:r>
          </w:p>
        </w:tc>
        <w:tc>
          <w:tcPr>
            <w:tcW w:w="683" w:type="pct"/>
            <w:tcBorders>
              <w:top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612" w:type="pct"/>
            <w:tcBorders>
              <w:top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0,7</w:t>
            </w:r>
          </w:p>
        </w:tc>
        <w:tc>
          <w:tcPr>
            <w:tcW w:w="598" w:type="pct"/>
            <w:tcBorders>
              <w:top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0,65</w:t>
            </w:r>
          </w:p>
        </w:tc>
      </w:tr>
      <w:tr w:rsidR="001D4C9F" w:rsidRPr="006E6049" w:rsidTr="006E6049">
        <w:tc>
          <w:tcPr>
            <w:cnfStyle w:val="001000000000" w:firstRow="0" w:lastRow="0" w:firstColumn="1" w:lastColumn="0" w:oddVBand="0" w:evenVBand="0" w:oddHBand="0" w:evenHBand="0" w:firstRowFirstColumn="0" w:firstRowLastColumn="0" w:lastRowFirstColumn="0" w:lastRowLastColumn="0"/>
            <w:tcW w:w="1641" w:type="pct"/>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Recouvrement des cotisations et des droits d’adhésion</w:t>
            </w:r>
          </w:p>
        </w:tc>
        <w:tc>
          <w:tcPr>
            <w:tcW w:w="617"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0,7</w:t>
            </w:r>
          </w:p>
        </w:tc>
        <w:tc>
          <w:tcPr>
            <w:tcW w:w="848"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0,8</w:t>
            </w:r>
          </w:p>
        </w:tc>
        <w:tc>
          <w:tcPr>
            <w:tcW w:w="683"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0,7</w:t>
            </w:r>
          </w:p>
        </w:tc>
        <w:tc>
          <w:tcPr>
            <w:tcW w:w="612"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0,3</w:t>
            </w:r>
          </w:p>
        </w:tc>
        <w:tc>
          <w:tcPr>
            <w:tcW w:w="598"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0,62</w:t>
            </w:r>
          </w:p>
        </w:tc>
      </w:tr>
      <w:tr w:rsidR="001D4C9F" w:rsidRPr="006E6049" w:rsidTr="006E604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641" w:type="pct"/>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Contrôle des droits aux prestations</w:t>
            </w:r>
          </w:p>
        </w:tc>
        <w:tc>
          <w:tcPr>
            <w:tcW w:w="617"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0,2</w:t>
            </w:r>
          </w:p>
        </w:tc>
        <w:tc>
          <w:tcPr>
            <w:tcW w:w="848"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0,7</w:t>
            </w:r>
          </w:p>
        </w:tc>
        <w:tc>
          <w:tcPr>
            <w:tcW w:w="683"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612"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598"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0,47</w:t>
            </w:r>
          </w:p>
        </w:tc>
      </w:tr>
      <w:tr w:rsidR="001D4C9F" w:rsidRPr="006E6049" w:rsidTr="006E6049">
        <w:tc>
          <w:tcPr>
            <w:cnfStyle w:val="001000000000" w:firstRow="0" w:lastRow="0" w:firstColumn="1" w:lastColumn="0" w:oddVBand="0" w:evenVBand="0" w:oddHBand="0" w:evenHBand="0" w:firstRowFirstColumn="0" w:firstRowLastColumn="0" w:lastRowFirstColumn="0" w:lastRowLastColumn="0"/>
            <w:tcW w:w="1641" w:type="pct"/>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Suivi des prises en charge</w:t>
            </w:r>
          </w:p>
        </w:tc>
        <w:tc>
          <w:tcPr>
            <w:tcW w:w="617"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0,2</w:t>
            </w:r>
          </w:p>
        </w:tc>
        <w:tc>
          <w:tcPr>
            <w:tcW w:w="848"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0,7</w:t>
            </w:r>
          </w:p>
        </w:tc>
        <w:tc>
          <w:tcPr>
            <w:tcW w:w="683"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612"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598"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0,47</w:t>
            </w:r>
          </w:p>
        </w:tc>
      </w:tr>
      <w:tr w:rsidR="001D4C9F" w:rsidRPr="006E6049" w:rsidTr="006E6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pct"/>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Suivi du portefeuille de risques</w:t>
            </w:r>
          </w:p>
        </w:tc>
        <w:tc>
          <w:tcPr>
            <w:tcW w:w="617"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0,6</w:t>
            </w:r>
          </w:p>
        </w:tc>
        <w:tc>
          <w:tcPr>
            <w:tcW w:w="848"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0,6</w:t>
            </w:r>
          </w:p>
        </w:tc>
        <w:tc>
          <w:tcPr>
            <w:tcW w:w="683"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0,3</w:t>
            </w:r>
          </w:p>
        </w:tc>
        <w:tc>
          <w:tcPr>
            <w:tcW w:w="612"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w:t>
            </w:r>
          </w:p>
        </w:tc>
        <w:tc>
          <w:tcPr>
            <w:tcW w:w="598"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0,37</w:t>
            </w:r>
          </w:p>
        </w:tc>
      </w:tr>
      <w:tr w:rsidR="001D4C9F" w:rsidRPr="006E6049" w:rsidTr="006E6049">
        <w:tc>
          <w:tcPr>
            <w:cnfStyle w:val="001000000000" w:firstRow="0" w:lastRow="0" w:firstColumn="1" w:lastColumn="0" w:oddVBand="0" w:evenVBand="0" w:oddHBand="0" w:evenHBand="0" w:firstRowFirstColumn="0" w:firstRowLastColumn="0" w:lastRowFirstColumn="0" w:lastRowLastColumn="0"/>
            <w:tcW w:w="1641" w:type="pct"/>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Suivi de l’enregistrement comptable</w:t>
            </w:r>
          </w:p>
        </w:tc>
        <w:tc>
          <w:tcPr>
            <w:tcW w:w="617"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848"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1</w:t>
            </w:r>
          </w:p>
        </w:tc>
        <w:tc>
          <w:tcPr>
            <w:tcW w:w="683"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612"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w:t>
            </w:r>
          </w:p>
        </w:tc>
        <w:tc>
          <w:tcPr>
            <w:tcW w:w="598" w:type="pct"/>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r>
      <w:tr w:rsidR="001D4C9F" w:rsidRPr="006E6049" w:rsidTr="006E6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pct"/>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Suivi financier</w:t>
            </w:r>
          </w:p>
        </w:tc>
        <w:tc>
          <w:tcPr>
            <w:tcW w:w="617"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848"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1</w:t>
            </w:r>
          </w:p>
        </w:tc>
        <w:tc>
          <w:tcPr>
            <w:tcW w:w="683"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c>
          <w:tcPr>
            <w:tcW w:w="612"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w:t>
            </w:r>
          </w:p>
        </w:tc>
        <w:tc>
          <w:tcPr>
            <w:tcW w:w="598" w:type="pct"/>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0,5</w:t>
            </w:r>
          </w:p>
        </w:tc>
      </w:tr>
      <w:tr w:rsidR="001D4C9F" w:rsidRPr="006E6049" w:rsidTr="006E6049">
        <w:tc>
          <w:tcPr>
            <w:cnfStyle w:val="001000000000" w:firstRow="0" w:lastRow="0" w:firstColumn="1" w:lastColumn="0" w:oddVBand="0" w:evenVBand="0" w:oddHBand="0" w:evenHBand="0" w:firstRowFirstColumn="0" w:firstRowLastColumn="0" w:lastRowFirstColumn="0" w:lastRowLastColumn="0"/>
            <w:tcW w:w="1641" w:type="pct"/>
            <w:tcBorders>
              <w:bottom w:val="nil"/>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Côte globale sur 8</w:t>
            </w:r>
          </w:p>
        </w:tc>
        <w:tc>
          <w:tcPr>
            <w:tcW w:w="617" w:type="pct"/>
            <w:tcBorders>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3,7</w:t>
            </w:r>
          </w:p>
        </w:tc>
        <w:tc>
          <w:tcPr>
            <w:tcW w:w="848" w:type="pct"/>
            <w:tcBorders>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6,5</w:t>
            </w:r>
          </w:p>
        </w:tc>
        <w:tc>
          <w:tcPr>
            <w:tcW w:w="683" w:type="pct"/>
            <w:tcBorders>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3,8</w:t>
            </w:r>
          </w:p>
        </w:tc>
        <w:tc>
          <w:tcPr>
            <w:tcW w:w="612" w:type="pct"/>
            <w:tcBorders>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2,3</w:t>
            </w:r>
          </w:p>
        </w:tc>
        <w:tc>
          <w:tcPr>
            <w:tcW w:w="598" w:type="pct"/>
            <w:tcBorders>
              <w:bottom w:val="nil"/>
            </w:tcBorders>
            <w:shd w:val="clear" w:color="auto" w:fill="auto"/>
          </w:tcPr>
          <w:p w:rsidR="00E47DB2" w:rsidRPr="006E6049"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4,07</w:t>
            </w:r>
          </w:p>
        </w:tc>
      </w:tr>
      <w:tr w:rsidR="001D4C9F" w:rsidRPr="006E6049" w:rsidTr="006E6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pct"/>
            <w:tcBorders>
              <w:top w:val="nil"/>
              <w:bottom w:val="nil"/>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Pourcentage</w:t>
            </w:r>
          </w:p>
        </w:tc>
        <w:tc>
          <w:tcPr>
            <w:tcW w:w="617" w:type="pct"/>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46,2%</w:t>
            </w:r>
          </w:p>
        </w:tc>
        <w:tc>
          <w:tcPr>
            <w:tcW w:w="848" w:type="pct"/>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81,2%</w:t>
            </w:r>
          </w:p>
        </w:tc>
        <w:tc>
          <w:tcPr>
            <w:tcW w:w="683" w:type="pct"/>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47,5%</w:t>
            </w:r>
          </w:p>
        </w:tc>
        <w:tc>
          <w:tcPr>
            <w:tcW w:w="612" w:type="pct"/>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51,4%</w:t>
            </w:r>
          </w:p>
        </w:tc>
        <w:tc>
          <w:tcPr>
            <w:tcW w:w="598" w:type="pct"/>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56 ,57%</w:t>
            </w:r>
          </w:p>
        </w:tc>
      </w:tr>
    </w:tbl>
    <w:p w:rsidR="006E6049" w:rsidRDefault="006E6049" w:rsidP="001D4C9F">
      <w:pPr>
        <w:pBdr>
          <w:top w:val="single" w:sz="4" w:space="1" w:color="auto"/>
        </w:pBdr>
        <w:spacing w:after="0"/>
      </w:pPr>
    </w:p>
    <w:p w:rsidR="006E6049" w:rsidRDefault="006E6049">
      <w:pPr>
        <w:spacing w:after="160" w:line="259" w:lineRule="auto"/>
      </w:pPr>
      <w:r>
        <w:br w:type="page"/>
      </w:r>
    </w:p>
    <w:tbl>
      <w:tblPr>
        <w:tblStyle w:val="TableauListe6Couleur1"/>
        <w:tblW w:w="5000" w:type="pct"/>
        <w:tblLayout w:type="fixed"/>
        <w:tblLook w:val="04A0" w:firstRow="1" w:lastRow="0" w:firstColumn="1" w:lastColumn="0" w:noHBand="0" w:noVBand="1"/>
      </w:tblPr>
      <w:tblGrid>
        <w:gridCol w:w="3382"/>
        <w:gridCol w:w="515"/>
        <w:gridCol w:w="795"/>
        <w:gridCol w:w="553"/>
        <w:gridCol w:w="933"/>
        <w:gridCol w:w="627"/>
        <w:gridCol w:w="902"/>
        <w:gridCol w:w="376"/>
        <w:gridCol w:w="1031"/>
        <w:gridCol w:w="293"/>
        <w:gridCol w:w="1225"/>
      </w:tblGrid>
      <w:tr w:rsidR="00E47DB2" w:rsidRPr="00107836" w:rsidTr="006E6049">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il"/>
            </w:tcBorders>
            <w:shd w:val="clear" w:color="auto" w:fill="auto"/>
          </w:tcPr>
          <w:p w:rsidR="00E47DB2" w:rsidRPr="00107836" w:rsidRDefault="00E47DB2" w:rsidP="001B7F2E">
            <w:pPr>
              <w:spacing w:after="0" w:line="240" w:lineRule="auto"/>
              <w:rPr>
                <w:rFonts w:ascii="Palatino Linotype" w:hAnsi="Palatino Linotype"/>
                <w:sz w:val="20"/>
                <w:szCs w:val="20"/>
              </w:rPr>
            </w:pPr>
            <w:r w:rsidRPr="00B616DD">
              <w:rPr>
                <w:rFonts w:ascii="Palatino Linotype" w:hAnsi="Palatino Linotype" w:cs="Times New Roman"/>
                <w:sz w:val="20"/>
                <w:szCs w:val="20"/>
              </w:rPr>
              <w:lastRenderedPageBreak/>
              <w:t xml:space="preserve">Tableau </w:t>
            </w:r>
            <w:r w:rsidRPr="00B616DD">
              <w:rPr>
                <w:rFonts w:ascii="Palatino Linotype" w:hAnsi="Palatino Linotype" w:cs="Times New Roman"/>
                <w:sz w:val="20"/>
                <w:szCs w:val="20"/>
              </w:rPr>
              <w:fldChar w:fldCharType="begin"/>
            </w:r>
            <w:r w:rsidRPr="00B616DD">
              <w:rPr>
                <w:rFonts w:ascii="Palatino Linotype" w:hAnsi="Palatino Linotype" w:cs="Times New Roman"/>
                <w:sz w:val="20"/>
                <w:szCs w:val="20"/>
              </w:rPr>
              <w:instrText xml:space="preserve"> SEQ Tableau \* ROMAN </w:instrText>
            </w:r>
            <w:r w:rsidRPr="00B616DD">
              <w:rPr>
                <w:rFonts w:ascii="Palatino Linotype" w:hAnsi="Palatino Linotype" w:cs="Times New Roman"/>
                <w:sz w:val="20"/>
                <w:szCs w:val="20"/>
              </w:rPr>
              <w:fldChar w:fldCharType="separate"/>
            </w:r>
            <w:r w:rsidRPr="00B616DD">
              <w:rPr>
                <w:rFonts w:ascii="Palatino Linotype" w:hAnsi="Palatino Linotype" w:cs="Times New Roman"/>
                <w:sz w:val="20"/>
                <w:szCs w:val="20"/>
              </w:rPr>
              <w:t>IV</w:t>
            </w:r>
            <w:r w:rsidRPr="00B616DD">
              <w:rPr>
                <w:rFonts w:ascii="Palatino Linotype" w:hAnsi="Palatino Linotype" w:cs="Times New Roman"/>
                <w:sz w:val="20"/>
                <w:szCs w:val="20"/>
              </w:rPr>
              <w:fldChar w:fldCharType="end"/>
            </w:r>
            <w:r w:rsidRPr="00B616DD">
              <w:rPr>
                <w:rFonts w:ascii="Palatino Linotype" w:hAnsi="Palatino Linotype" w:cs="Times New Roman"/>
                <w:sz w:val="20"/>
                <w:szCs w:val="20"/>
              </w:rPr>
              <w:t>. Cotes aux items concernant la viabilité technique par mutuelle de santé</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832" w:type="pct"/>
            <w:gridSpan w:val="2"/>
            <w:tcBorders>
              <w:bottom w:val="single" w:sz="4" w:space="0" w:color="auto"/>
            </w:tcBorders>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Variables(Items)</w:t>
            </w:r>
          </w:p>
        </w:tc>
        <w:tc>
          <w:tcPr>
            <w:tcW w:w="634" w:type="pct"/>
            <w:gridSpan w:val="2"/>
            <w:tcBorders>
              <w:bottom w:val="single" w:sz="4" w:space="0" w:color="auto"/>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MUSACOM</w:t>
            </w:r>
          </w:p>
        </w:tc>
        <w:tc>
          <w:tcPr>
            <w:tcW w:w="734" w:type="pct"/>
            <w:gridSpan w:val="2"/>
            <w:tcBorders>
              <w:bottom w:val="single" w:sz="4" w:space="0" w:color="auto"/>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MUSANOVIE</w:t>
            </w:r>
          </w:p>
        </w:tc>
        <w:tc>
          <w:tcPr>
            <w:tcW w:w="601" w:type="pct"/>
            <w:gridSpan w:val="2"/>
            <w:tcBorders>
              <w:bottom w:val="single" w:sz="4" w:space="0" w:color="auto"/>
            </w:tcBorders>
            <w:shd w:val="clear" w:color="auto" w:fill="auto"/>
          </w:tcPr>
          <w:p w:rsidR="00E47DB2" w:rsidRPr="00107836" w:rsidRDefault="00E47DB2" w:rsidP="001D4C9F">
            <w:pPr>
              <w:spacing w:after="0" w:line="240" w:lineRule="auto"/>
              <w:ind w:right="-246"/>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SAINT RAPHAEL</w:t>
            </w:r>
          </w:p>
        </w:tc>
        <w:tc>
          <w:tcPr>
            <w:tcW w:w="623" w:type="pct"/>
            <w:gridSpan w:val="2"/>
            <w:tcBorders>
              <w:bottom w:val="single" w:sz="4" w:space="0" w:color="auto"/>
            </w:tcBorders>
            <w:shd w:val="clear" w:color="auto" w:fill="auto"/>
          </w:tcPr>
          <w:p w:rsidR="00E47DB2" w:rsidRPr="00107836" w:rsidRDefault="00E47DB2" w:rsidP="006E6049">
            <w:pPr>
              <w:spacing w:after="0" w:line="240" w:lineRule="auto"/>
              <w:ind w:right="-59"/>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SANTE POUR TOUS</w:t>
            </w:r>
          </w:p>
        </w:tc>
        <w:tc>
          <w:tcPr>
            <w:tcW w:w="576" w:type="pct"/>
            <w:tcBorders>
              <w:bottom w:val="single" w:sz="4" w:space="0" w:color="auto"/>
            </w:tcBorders>
            <w:shd w:val="clear" w:color="auto" w:fill="auto"/>
          </w:tcPr>
          <w:p w:rsidR="00E47DB2" w:rsidRPr="00107836" w:rsidRDefault="00E47DB2" w:rsidP="006E6049">
            <w:pPr>
              <w:spacing w:after="0" w:line="240" w:lineRule="auto"/>
              <w:ind w:right="-103"/>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Moyenne d’ensemble</w:t>
            </w:r>
          </w:p>
        </w:tc>
      </w:tr>
      <w:tr w:rsidR="001D4C9F" w:rsidRPr="00107836" w:rsidTr="006E6049">
        <w:trPr>
          <w:trHeight w:val="153"/>
        </w:trPr>
        <w:tc>
          <w:tcPr>
            <w:cnfStyle w:val="001000000000" w:firstRow="0" w:lastRow="0" w:firstColumn="1" w:lastColumn="0" w:oddVBand="0" w:evenVBand="0" w:oddHBand="0" w:evenHBand="0" w:firstRowFirstColumn="0" w:firstRowLastColumn="0" w:lastRowFirstColumn="0" w:lastRowLastColumn="0"/>
            <w:tcW w:w="1832" w:type="pct"/>
            <w:gridSpan w:val="2"/>
            <w:tcBorders>
              <w:top w:val="single" w:sz="4" w:space="0" w:color="auto"/>
              <w:bottom w:val="nil"/>
            </w:tcBorders>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Modalités d’adhésion et sélection adverse</w:t>
            </w:r>
          </w:p>
        </w:tc>
        <w:tc>
          <w:tcPr>
            <w:tcW w:w="634" w:type="pct"/>
            <w:gridSpan w:val="2"/>
            <w:tcBorders>
              <w:top w:val="single" w:sz="4" w:space="0" w:color="auto"/>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0,5</w:t>
            </w:r>
          </w:p>
        </w:tc>
        <w:tc>
          <w:tcPr>
            <w:tcW w:w="734" w:type="pct"/>
            <w:gridSpan w:val="2"/>
            <w:tcBorders>
              <w:top w:val="single" w:sz="4" w:space="0" w:color="auto"/>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601" w:type="pct"/>
            <w:gridSpan w:val="2"/>
            <w:tcBorders>
              <w:top w:val="single" w:sz="4" w:space="0" w:color="auto"/>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0,6</w:t>
            </w:r>
          </w:p>
        </w:tc>
        <w:tc>
          <w:tcPr>
            <w:tcW w:w="623" w:type="pct"/>
            <w:gridSpan w:val="2"/>
            <w:tcBorders>
              <w:top w:val="single" w:sz="4" w:space="0" w:color="auto"/>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0,5</w:t>
            </w:r>
          </w:p>
        </w:tc>
        <w:tc>
          <w:tcPr>
            <w:tcW w:w="576" w:type="pct"/>
            <w:tcBorders>
              <w:top w:val="single" w:sz="4" w:space="0" w:color="auto"/>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0,65</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832" w:type="pct"/>
            <w:gridSpan w:val="2"/>
            <w:tcBorders>
              <w:top w:val="nil"/>
            </w:tcBorders>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Qualité du portefeuille de risques</w:t>
            </w:r>
          </w:p>
        </w:tc>
        <w:tc>
          <w:tcPr>
            <w:tcW w:w="634" w:type="pct"/>
            <w:gridSpan w:val="2"/>
            <w:tcBorders>
              <w:top w:val="nil"/>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0,6</w:t>
            </w:r>
          </w:p>
        </w:tc>
        <w:tc>
          <w:tcPr>
            <w:tcW w:w="734" w:type="pct"/>
            <w:gridSpan w:val="2"/>
            <w:tcBorders>
              <w:top w:val="nil"/>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0,6</w:t>
            </w:r>
          </w:p>
        </w:tc>
        <w:tc>
          <w:tcPr>
            <w:tcW w:w="601" w:type="pct"/>
            <w:gridSpan w:val="2"/>
            <w:tcBorders>
              <w:top w:val="nil"/>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0,3</w:t>
            </w:r>
          </w:p>
        </w:tc>
        <w:tc>
          <w:tcPr>
            <w:tcW w:w="623" w:type="pct"/>
            <w:gridSpan w:val="2"/>
            <w:tcBorders>
              <w:top w:val="nil"/>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576" w:type="pct"/>
            <w:tcBorders>
              <w:top w:val="nil"/>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0,37</w:t>
            </w:r>
          </w:p>
        </w:tc>
      </w:tr>
      <w:tr w:rsidR="001D4C9F" w:rsidRPr="00107836" w:rsidTr="006E6049">
        <w:trPr>
          <w:trHeight w:val="47"/>
        </w:trPr>
        <w:tc>
          <w:tcPr>
            <w:cnfStyle w:val="001000000000" w:firstRow="0" w:lastRow="0" w:firstColumn="1" w:lastColumn="0" w:oddVBand="0" w:evenVBand="0" w:oddHBand="0" w:evenHBand="0" w:firstRowFirstColumn="0" w:firstRowLastColumn="0" w:lastRowFirstColumn="0" w:lastRowLastColumn="0"/>
            <w:tcW w:w="1832" w:type="pct"/>
            <w:gridSpan w:val="2"/>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Evolution des coûts moyens des prestations prises en charge</w:t>
            </w:r>
          </w:p>
        </w:tc>
        <w:tc>
          <w:tcPr>
            <w:tcW w:w="634"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734"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01"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23"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576" w:type="pct"/>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832" w:type="pct"/>
            <w:gridSpan w:val="2"/>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Comparaison des coûts moyens des services pour les bénéficiaires et les non-bénéficiaires</w:t>
            </w:r>
          </w:p>
        </w:tc>
        <w:tc>
          <w:tcPr>
            <w:tcW w:w="634"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734"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01"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23"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576" w:type="pct"/>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r>
      <w:tr w:rsidR="001D4C9F" w:rsidRPr="00107836" w:rsidTr="006E6049">
        <w:trPr>
          <w:trHeight w:val="47"/>
        </w:trPr>
        <w:tc>
          <w:tcPr>
            <w:cnfStyle w:val="001000000000" w:firstRow="0" w:lastRow="0" w:firstColumn="1" w:lastColumn="0" w:oddVBand="0" w:evenVBand="0" w:oddHBand="0" w:evenHBand="0" w:firstRowFirstColumn="0" w:firstRowLastColumn="0" w:lastRowFirstColumn="0" w:lastRowLastColumn="0"/>
            <w:tcW w:w="1832" w:type="pct"/>
            <w:gridSpan w:val="2"/>
            <w:shd w:val="clear" w:color="auto" w:fill="auto"/>
          </w:tcPr>
          <w:p w:rsidR="00E47DB2" w:rsidRPr="00107836" w:rsidRDefault="00E47DB2" w:rsidP="001B7F2E">
            <w:pPr>
              <w:spacing w:after="0" w:line="240" w:lineRule="auto"/>
              <w:rPr>
                <w:rFonts w:ascii="Palatino Linotype" w:hAnsi="Palatino Linotype"/>
                <w:b w:val="0"/>
                <w:sz w:val="20"/>
                <w:szCs w:val="20"/>
              </w:rPr>
            </w:pPr>
            <w:r>
              <w:rPr>
                <w:rFonts w:ascii="Palatino Linotype" w:hAnsi="Palatino Linotype"/>
                <w:b w:val="0"/>
                <w:sz w:val="20"/>
                <w:szCs w:val="20"/>
              </w:rPr>
              <w:t>Cote globale sur  5</w:t>
            </w:r>
          </w:p>
        </w:tc>
        <w:tc>
          <w:tcPr>
            <w:tcW w:w="634"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1,1</w:t>
            </w:r>
          </w:p>
        </w:tc>
        <w:tc>
          <w:tcPr>
            <w:tcW w:w="734"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1,6</w:t>
            </w:r>
          </w:p>
        </w:tc>
        <w:tc>
          <w:tcPr>
            <w:tcW w:w="601"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0,9</w:t>
            </w:r>
          </w:p>
        </w:tc>
        <w:tc>
          <w:tcPr>
            <w:tcW w:w="623"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0,5</w:t>
            </w:r>
          </w:p>
        </w:tc>
        <w:tc>
          <w:tcPr>
            <w:tcW w:w="576" w:type="pct"/>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1,02</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832" w:type="pct"/>
            <w:gridSpan w:val="2"/>
            <w:tcBorders>
              <w:bottom w:val="single" w:sz="4" w:space="0" w:color="auto"/>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Pourcentage</w:t>
            </w:r>
          </w:p>
        </w:tc>
        <w:tc>
          <w:tcPr>
            <w:tcW w:w="634" w:type="pct"/>
            <w:gridSpan w:val="2"/>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27,5%</w:t>
            </w:r>
          </w:p>
        </w:tc>
        <w:tc>
          <w:tcPr>
            <w:tcW w:w="734" w:type="pct"/>
            <w:gridSpan w:val="2"/>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40%</w:t>
            </w:r>
          </w:p>
        </w:tc>
        <w:tc>
          <w:tcPr>
            <w:tcW w:w="601" w:type="pct"/>
            <w:gridSpan w:val="2"/>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22,5%</w:t>
            </w:r>
          </w:p>
        </w:tc>
        <w:tc>
          <w:tcPr>
            <w:tcW w:w="623" w:type="pct"/>
            <w:gridSpan w:val="2"/>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12,5%</w:t>
            </w:r>
          </w:p>
        </w:tc>
        <w:tc>
          <w:tcPr>
            <w:tcW w:w="576" w:type="pct"/>
            <w:tcBorders>
              <w:bottom w:val="single" w:sz="4" w:space="0" w:color="auto"/>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25 ,6%</w:t>
            </w:r>
          </w:p>
        </w:tc>
      </w:tr>
      <w:tr w:rsidR="00E47DB2" w:rsidRPr="00107836" w:rsidTr="006E6049">
        <w:trPr>
          <w:trHeight w:val="56"/>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uto"/>
              <w:bottom w:val="single" w:sz="4" w:space="0" w:color="auto"/>
            </w:tcBorders>
            <w:shd w:val="clear" w:color="auto" w:fill="auto"/>
          </w:tcPr>
          <w:p w:rsidR="006E6049" w:rsidRDefault="006E6049" w:rsidP="001B7F2E">
            <w:pPr>
              <w:spacing w:after="0" w:line="240" w:lineRule="auto"/>
              <w:rPr>
                <w:rFonts w:ascii="Palatino Linotype" w:hAnsi="Palatino Linotype" w:cs="Times New Roman"/>
                <w:sz w:val="20"/>
                <w:szCs w:val="20"/>
              </w:rPr>
            </w:pPr>
          </w:p>
          <w:p w:rsidR="00E47DB2" w:rsidRPr="00107836" w:rsidRDefault="00E47DB2" w:rsidP="001B7F2E">
            <w:pPr>
              <w:spacing w:after="0" w:line="240" w:lineRule="auto"/>
              <w:rPr>
                <w:rFonts w:ascii="Palatino Linotype" w:hAnsi="Palatino Linotype"/>
                <w:sz w:val="20"/>
                <w:szCs w:val="20"/>
              </w:rPr>
            </w:pPr>
            <w:r w:rsidRPr="00B616DD">
              <w:rPr>
                <w:rFonts w:ascii="Palatino Linotype" w:hAnsi="Palatino Linotype" w:cs="Times New Roman"/>
                <w:sz w:val="20"/>
                <w:szCs w:val="20"/>
              </w:rPr>
              <w:t>Tableau V. Cotes aux items concernant la viabilité fonctionnelle par mutuelle de santé</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auto"/>
              <w:bottom w:val="single" w:sz="4" w:space="0" w:color="auto"/>
            </w:tcBorders>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Variables(Items)</w:t>
            </w:r>
          </w:p>
        </w:tc>
        <w:tc>
          <w:tcPr>
            <w:tcW w:w="616" w:type="pct"/>
            <w:gridSpan w:val="2"/>
            <w:tcBorders>
              <w:top w:val="single" w:sz="4" w:space="0" w:color="auto"/>
              <w:bottom w:val="single" w:sz="4" w:space="0" w:color="auto"/>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MUSACOM</w:t>
            </w:r>
          </w:p>
        </w:tc>
        <w:tc>
          <w:tcPr>
            <w:tcW w:w="699" w:type="pct"/>
            <w:gridSpan w:val="2"/>
            <w:tcBorders>
              <w:top w:val="single" w:sz="4" w:space="0" w:color="auto"/>
              <w:bottom w:val="single" w:sz="4" w:space="0" w:color="auto"/>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MUSANOVIE</w:t>
            </w:r>
          </w:p>
        </w:tc>
        <w:tc>
          <w:tcPr>
            <w:tcW w:w="719" w:type="pct"/>
            <w:gridSpan w:val="2"/>
            <w:tcBorders>
              <w:top w:val="single" w:sz="4" w:space="0" w:color="auto"/>
              <w:bottom w:val="single" w:sz="4" w:space="0" w:color="auto"/>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SAINT RAPHAEL</w:t>
            </w:r>
          </w:p>
        </w:tc>
        <w:tc>
          <w:tcPr>
            <w:tcW w:w="662" w:type="pct"/>
            <w:gridSpan w:val="2"/>
            <w:tcBorders>
              <w:top w:val="single" w:sz="4" w:space="0" w:color="auto"/>
              <w:bottom w:val="single" w:sz="4" w:space="0" w:color="auto"/>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SANTE POUR TOUS</w:t>
            </w:r>
          </w:p>
        </w:tc>
        <w:tc>
          <w:tcPr>
            <w:tcW w:w="714" w:type="pct"/>
            <w:gridSpan w:val="2"/>
            <w:tcBorders>
              <w:top w:val="single" w:sz="4" w:space="0" w:color="auto"/>
              <w:bottom w:val="single" w:sz="4" w:space="0" w:color="auto"/>
            </w:tcBorders>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Moyenne d’ensemble</w:t>
            </w:r>
          </w:p>
        </w:tc>
      </w:tr>
      <w:tr w:rsidR="006E6049" w:rsidRPr="00107836" w:rsidTr="006E6049">
        <w:trPr>
          <w:trHeight w:val="47"/>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auto"/>
            </w:tcBorders>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 xml:space="preserve"> Taux de croissance brut </w:t>
            </w:r>
          </w:p>
        </w:tc>
        <w:tc>
          <w:tcPr>
            <w:tcW w:w="616" w:type="pct"/>
            <w:gridSpan w:val="2"/>
            <w:tcBorders>
              <w:top w:val="single" w:sz="4" w:space="0" w:color="auto"/>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699" w:type="pct"/>
            <w:gridSpan w:val="2"/>
            <w:tcBorders>
              <w:top w:val="single" w:sz="4" w:space="0" w:color="auto"/>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9" w:type="pct"/>
            <w:gridSpan w:val="2"/>
            <w:tcBorders>
              <w:top w:val="single" w:sz="4" w:space="0" w:color="auto"/>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662" w:type="pct"/>
            <w:gridSpan w:val="2"/>
            <w:tcBorders>
              <w:top w:val="single" w:sz="4" w:space="0" w:color="auto"/>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4" w:type="pct"/>
            <w:gridSpan w:val="2"/>
            <w:tcBorders>
              <w:top w:val="single" w:sz="4" w:space="0" w:color="auto"/>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590" w:type="pct"/>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Taux de fidélisation</w:t>
            </w:r>
          </w:p>
        </w:tc>
        <w:tc>
          <w:tcPr>
            <w:tcW w:w="616"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699"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9"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662"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4"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r>
      <w:tr w:rsidR="006E6049" w:rsidRPr="00107836" w:rsidTr="006E6049">
        <w:trPr>
          <w:trHeight w:val="47"/>
        </w:trPr>
        <w:tc>
          <w:tcPr>
            <w:cnfStyle w:val="001000000000" w:firstRow="0" w:lastRow="0" w:firstColumn="1" w:lastColumn="0" w:oddVBand="0" w:evenVBand="0" w:oddHBand="0" w:evenHBand="0" w:firstRowFirstColumn="0" w:firstRowLastColumn="0" w:lastRowFirstColumn="0" w:lastRowLastColumn="0"/>
            <w:tcW w:w="1590" w:type="pct"/>
            <w:shd w:val="clear" w:color="auto" w:fill="auto"/>
          </w:tcPr>
          <w:p w:rsidR="00E47DB2" w:rsidRPr="00107836" w:rsidRDefault="00E47DB2" w:rsidP="001B7F2E">
            <w:pPr>
              <w:spacing w:after="0" w:line="240" w:lineRule="auto"/>
              <w:rPr>
                <w:rFonts w:ascii="Palatino Linotype" w:hAnsi="Palatino Linotype"/>
                <w:b w:val="0"/>
                <w:sz w:val="20"/>
                <w:szCs w:val="20"/>
              </w:rPr>
            </w:pPr>
            <w:r>
              <w:rPr>
                <w:rFonts w:ascii="Palatino Linotype" w:hAnsi="Palatino Linotype"/>
                <w:b w:val="0"/>
                <w:sz w:val="20"/>
                <w:szCs w:val="20"/>
              </w:rPr>
              <w:t>Taux de croissance interne</w:t>
            </w:r>
          </w:p>
        </w:tc>
        <w:tc>
          <w:tcPr>
            <w:tcW w:w="616"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699"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9"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662"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4"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590" w:type="pct"/>
            <w:shd w:val="clear" w:color="auto" w:fill="auto"/>
          </w:tcPr>
          <w:p w:rsidR="00E47DB2" w:rsidRPr="00107836" w:rsidRDefault="00E47DB2" w:rsidP="001B7F2E">
            <w:pPr>
              <w:spacing w:after="0" w:line="240" w:lineRule="auto"/>
              <w:rPr>
                <w:rFonts w:ascii="Palatino Linotype" w:hAnsi="Palatino Linotype"/>
                <w:b w:val="0"/>
                <w:sz w:val="20"/>
                <w:szCs w:val="20"/>
              </w:rPr>
            </w:pPr>
            <w:r>
              <w:rPr>
                <w:rFonts w:ascii="Palatino Linotype" w:hAnsi="Palatino Linotype"/>
                <w:b w:val="0"/>
                <w:sz w:val="20"/>
                <w:szCs w:val="20"/>
              </w:rPr>
              <w:t>Taux de pénétration</w:t>
            </w:r>
          </w:p>
        </w:tc>
        <w:tc>
          <w:tcPr>
            <w:tcW w:w="616"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99"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719"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62"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714"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r>
      <w:tr w:rsidR="006E6049" w:rsidRPr="00107836" w:rsidTr="006E6049">
        <w:trPr>
          <w:trHeight w:val="47"/>
        </w:trPr>
        <w:tc>
          <w:tcPr>
            <w:cnfStyle w:val="001000000000" w:firstRow="0" w:lastRow="0" w:firstColumn="1" w:lastColumn="0" w:oddVBand="0" w:evenVBand="0" w:oddHBand="0" w:evenHBand="0" w:firstRowFirstColumn="0" w:firstRowLastColumn="0" w:lastRowFirstColumn="0" w:lastRowLastColumn="0"/>
            <w:tcW w:w="1590" w:type="pct"/>
            <w:shd w:val="clear" w:color="auto" w:fill="auto"/>
          </w:tcPr>
          <w:p w:rsidR="00E47DB2" w:rsidRPr="00107836" w:rsidRDefault="00E47DB2" w:rsidP="001B7F2E">
            <w:pPr>
              <w:spacing w:after="0" w:line="240" w:lineRule="auto"/>
              <w:rPr>
                <w:rFonts w:ascii="Palatino Linotype" w:hAnsi="Palatino Linotype"/>
                <w:b w:val="0"/>
                <w:sz w:val="20"/>
                <w:szCs w:val="20"/>
              </w:rPr>
            </w:pPr>
            <w:r>
              <w:rPr>
                <w:rFonts w:ascii="Palatino Linotype" w:hAnsi="Palatino Linotype"/>
                <w:b w:val="0"/>
                <w:sz w:val="20"/>
                <w:szCs w:val="20"/>
              </w:rPr>
              <w:t>Taux de recouvrement</w:t>
            </w:r>
          </w:p>
        </w:tc>
        <w:tc>
          <w:tcPr>
            <w:tcW w:w="616"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99"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9"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62"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4" w:type="pct"/>
            <w:gridSpan w:val="2"/>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0,5</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590" w:type="pct"/>
            <w:shd w:val="clear" w:color="auto" w:fill="auto"/>
          </w:tcPr>
          <w:p w:rsidR="00E47DB2" w:rsidRPr="00107836" w:rsidRDefault="00E47DB2" w:rsidP="001B7F2E">
            <w:pPr>
              <w:spacing w:after="0" w:line="240" w:lineRule="auto"/>
              <w:rPr>
                <w:rFonts w:ascii="Palatino Linotype" w:hAnsi="Palatino Linotype"/>
                <w:b w:val="0"/>
                <w:sz w:val="20"/>
                <w:szCs w:val="20"/>
              </w:rPr>
            </w:pPr>
            <w:r w:rsidRPr="00107836">
              <w:rPr>
                <w:rFonts w:ascii="Palatino Linotype" w:hAnsi="Palatino Linotype"/>
                <w:b w:val="0"/>
                <w:sz w:val="20"/>
                <w:szCs w:val="20"/>
              </w:rPr>
              <w:t>Délai moyen de paiement des prestataires ou de remboursement des adhérents</w:t>
            </w:r>
          </w:p>
        </w:tc>
        <w:tc>
          <w:tcPr>
            <w:tcW w:w="616"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99"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9"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w:t>
            </w:r>
          </w:p>
        </w:tc>
        <w:tc>
          <w:tcPr>
            <w:tcW w:w="662"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1</w:t>
            </w:r>
          </w:p>
        </w:tc>
        <w:tc>
          <w:tcPr>
            <w:tcW w:w="714" w:type="pct"/>
            <w:gridSpan w:val="2"/>
            <w:shd w:val="clear" w:color="auto" w:fill="auto"/>
          </w:tcPr>
          <w:p w:rsidR="00E47DB2" w:rsidRPr="00107836"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0,5</w:t>
            </w:r>
          </w:p>
        </w:tc>
      </w:tr>
      <w:tr w:rsidR="006E6049" w:rsidRPr="00107836" w:rsidTr="006E6049">
        <w:trPr>
          <w:trHeight w:val="47"/>
        </w:trPr>
        <w:tc>
          <w:tcPr>
            <w:cnfStyle w:val="001000000000" w:firstRow="0" w:lastRow="0" w:firstColumn="1" w:lastColumn="0" w:oddVBand="0" w:evenVBand="0" w:oddHBand="0" w:evenHBand="0" w:firstRowFirstColumn="0" w:firstRowLastColumn="0" w:lastRowFirstColumn="0" w:lastRowLastColumn="0"/>
            <w:tcW w:w="1590" w:type="pct"/>
            <w:tcBorders>
              <w:bottom w:val="nil"/>
            </w:tcBorders>
            <w:shd w:val="clear" w:color="auto" w:fill="auto"/>
          </w:tcPr>
          <w:p w:rsidR="00E47DB2" w:rsidRPr="00107836" w:rsidRDefault="00E47DB2" w:rsidP="001B7F2E">
            <w:pPr>
              <w:spacing w:after="0" w:line="240" w:lineRule="auto"/>
              <w:rPr>
                <w:rFonts w:ascii="Palatino Linotype" w:hAnsi="Palatino Linotype"/>
                <w:b w:val="0"/>
                <w:sz w:val="20"/>
                <w:szCs w:val="20"/>
              </w:rPr>
            </w:pPr>
            <w:r>
              <w:rPr>
                <w:rFonts w:ascii="Palatino Linotype" w:hAnsi="Palatino Linotype"/>
                <w:b w:val="0"/>
                <w:sz w:val="20"/>
                <w:szCs w:val="20"/>
              </w:rPr>
              <w:t>Côte globale sur  6</w:t>
            </w:r>
          </w:p>
        </w:tc>
        <w:tc>
          <w:tcPr>
            <w:tcW w:w="616" w:type="pct"/>
            <w:gridSpan w:val="2"/>
            <w:tcBorders>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3</w:t>
            </w:r>
          </w:p>
        </w:tc>
        <w:tc>
          <w:tcPr>
            <w:tcW w:w="699" w:type="pct"/>
            <w:gridSpan w:val="2"/>
            <w:tcBorders>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5</w:t>
            </w:r>
          </w:p>
        </w:tc>
        <w:tc>
          <w:tcPr>
            <w:tcW w:w="719" w:type="pct"/>
            <w:gridSpan w:val="2"/>
            <w:tcBorders>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3</w:t>
            </w:r>
          </w:p>
        </w:tc>
        <w:tc>
          <w:tcPr>
            <w:tcW w:w="662" w:type="pct"/>
            <w:gridSpan w:val="2"/>
            <w:tcBorders>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5</w:t>
            </w:r>
          </w:p>
        </w:tc>
        <w:tc>
          <w:tcPr>
            <w:tcW w:w="714" w:type="pct"/>
            <w:gridSpan w:val="2"/>
            <w:tcBorders>
              <w:bottom w:val="nil"/>
            </w:tcBorders>
            <w:shd w:val="clear" w:color="auto" w:fill="auto"/>
          </w:tcPr>
          <w:p w:rsidR="00E47DB2" w:rsidRPr="00107836"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7836">
              <w:rPr>
                <w:rFonts w:ascii="Palatino Linotype" w:hAnsi="Palatino Linotype"/>
                <w:sz w:val="20"/>
                <w:szCs w:val="20"/>
              </w:rPr>
              <w:t>4</w:t>
            </w:r>
          </w:p>
        </w:tc>
      </w:tr>
      <w:tr w:rsidR="006E6049" w:rsidRPr="00107836" w:rsidTr="006E6049">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590" w:type="pct"/>
            <w:tcBorders>
              <w:top w:val="nil"/>
              <w:bottom w:val="nil"/>
            </w:tcBorders>
            <w:shd w:val="clear" w:color="auto" w:fill="auto"/>
          </w:tcPr>
          <w:p w:rsidR="00E47DB2" w:rsidRPr="006E6049" w:rsidRDefault="00E47DB2" w:rsidP="001B7F2E">
            <w:pPr>
              <w:spacing w:after="0" w:line="240" w:lineRule="auto"/>
              <w:rPr>
                <w:rFonts w:ascii="Palatino Linotype" w:hAnsi="Palatino Linotype"/>
                <w:b w:val="0"/>
                <w:sz w:val="20"/>
                <w:szCs w:val="20"/>
              </w:rPr>
            </w:pPr>
            <w:r w:rsidRPr="006E6049">
              <w:rPr>
                <w:rFonts w:ascii="Palatino Linotype" w:hAnsi="Palatino Linotype"/>
                <w:b w:val="0"/>
                <w:sz w:val="20"/>
                <w:szCs w:val="20"/>
              </w:rPr>
              <w:t>Pourcentage</w:t>
            </w:r>
          </w:p>
        </w:tc>
        <w:tc>
          <w:tcPr>
            <w:tcW w:w="616" w:type="pct"/>
            <w:gridSpan w:val="2"/>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50%</w:t>
            </w:r>
          </w:p>
        </w:tc>
        <w:tc>
          <w:tcPr>
            <w:tcW w:w="699" w:type="pct"/>
            <w:gridSpan w:val="2"/>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83,3%</w:t>
            </w:r>
          </w:p>
        </w:tc>
        <w:tc>
          <w:tcPr>
            <w:tcW w:w="719" w:type="pct"/>
            <w:gridSpan w:val="2"/>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50%</w:t>
            </w:r>
          </w:p>
        </w:tc>
        <w:tc>
          <w:tcPr>
            <w:tcW w:w="662" w:type="pct"/>
            <w:gridSpan w:val="2"/>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83,3%</w:t>
            </w:r>
          </w:p>
        </w:tc>
        <w:tc>
          <w:tcPr>
            <w:tcW w:w="714" w:type="pct"/>
            <w:gridSpan w:val="2"/>
            <w:tcBorders>
              <w:top w:val="nil"/>
              <w:bottom w:val="nil"/>
            </w:tcBorders>
            <w:shd w:val="clear" w:color="auto" w:fill="auto"/>
          </w:tcPr>
          <w:p w:rsidR="00E47DB2" w:rsidRPr="006E6049"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E6049">
              <w:rPr>
                <w:rFonts w:ascii="Palatino Linotype" w:hAnsi="Palatino Linotype"/>
                <w:sz w:val="20"/>
                <w:szCs w:val="20"/>
              </w:rPr>
              <w:t>66,6%</w:t>
            </w:r>
          </w:p>
        </w:tc>
      </w:tr>
    </w:tbl>
    <w:p w:rsidR="00E47DB2" w:rsidRDefault="00E47DB2" w:rsidP="001D4C9F">
      <w:pPr>
        <w:pBdr>
          <w:top w:val="single" w:sz="4" w:space="1" w:color="auto"/>
        </w:pBdr>
        <w:spacing w:after="0"/>
      </w:pPr>
    </w:p>
    <w:tbl>
      <w:tblPr>
        <w:tblStyle w:val="TableauListe6Couleur1"/>
        <w:tblW w:w="5000" w:type="pct"/>
        <w:tblLook w:val="04A0" w:firstRow="1" w:lastRow="0" w:firstColumn="1" w:lastColumn="0" w:noHBand="0" w:noVBand="1"/>
      </w:tblPr>
      <w:tblGrid>
        <w:gridCol w:w="2921"/>
        <w:gridCol w:w="1323"/>
        <w:gridCol w:w="1927"/>
        <w:gridCol w:w="1342"/>
        <w:gridCol w:w="1486"/>
        <w:gridCol w:w="1633"/>
      </w:tblGrid>
      <w:tr w:rsidR="00E47DB2" w:rsidRPr="00AA3D0E" w:rsidTr="00F75BD6">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tcBorders>
            <w:shd w:val="clear" w:color="auto" w:fill="auto"/>
          </w:tcPr>
          <w:p w:rsidR="00E47DB2" w:rsidRPr="00AA3D0E" w:rsidRDefault="00E47DB2" w:rsidP="001B7F2E">
            <w:pPr>
              <w:spacing w:after="0" w:line="240" w:lineRule="auto"/>
              <w:rPr>
                <w:rFonts w:ascii="Palatino Linotype" w:hAnsi="Palatino Linotype"/>
                <w:sz w:val="20"/>
                <w:szCs w:val="20"/>
              </w:rPr>
            </w:pPr>
            <w:r w:rsidRPr="00B616DD">
              <w:rPr>
                <w:rFonts w:ascii="Palatino Linotype" w:hAnsi="Palatino Linotype" w:cs="Times New Roman"/>
                <w:sz w:val="20"/>
                <w:szCs w:val="20"/>
              </w:rPr>
              <w:t>Tableau VI. Côtes aux items concernant la viabilité financière par mutuelle de santé</w:t>
            </w:r>
          </w:p>
        </w:tc>
      </w:tr>
      <w:tr w:rsidR="00E47DB2" w:rsidRPr="00AA3D0E" w:rsidTr="00F75BD6">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374" w:type="pct"/>
            <w:tcBorders>
              <w:bottom w:val="single" w:sz="4" w:space="0" w:color="auto"/>
            </w:tcBorders>
            <w:shd w:val="clear" w:color="auto" w:fill="auto"/>
          </w:tcPr>
          <w:p w:rsidR="00E47DB2" w:rsidRPr="00AA3D0E" w:rsidRDefault="00E47DB2" w:rsidP="001B7F2E">
            <w:pPr>
              <w:spacing w:after="0" w:line="240" w:lineRule="auto"/>
              <w:rPr>
                <w:rFonts w:ascii="Palatino Linotype" w:hAnsi="Palatino Linotype"/>
                <w:b w:val="0"/>
                <w:sz w:val="20"/>
                <w:szCs w:val="20"/>
              </w:rPr>
            </w:pPr>
            <w:r w:rsidRPr="00AA3D0E">
              <w:rPr>
                <w:rFonts w:ascii="Palatino Linotype" w:hAnsi="Palatino Linotype"/>
                <w:b w:val="0"/>
                <w:sz w:val="20"/>
                <w:szCs w:val="20"/>
              </w:rPr>
              <w:t>Variables(Items)</w:t>
            </w:r>
          </w:p>
        </w:tc>
        <w:tc>
          <w:tcPr>
            <w:tcW w:w="622" w:type="pct"/>
            <w:tcBorders>
              <w:bottom w:val="single" w:sz="4" w:space="0" w:color="auto"/>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MUSACOM</w:t>
            </w:r>
          </w:p>
        </w:tc>
        <w:tc>
          <w:tcPr>
            <w:tcW w:w="906" w:type="pct"/>
            <w:tcBorders>
              <w:bottom w:val="single" w:sz="4" w:space="0" w:color="auto"/>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MUSANOVIE</w:t>
            </w:r>
          </w:p>
        </w:tc>
        <w:tc>
          <w:tcPr>
            <w:tcW w:w="631" w:type="pct"/>
            <w:tcBorders>
              <w:bottom w:val="single" w:sz="4" w:space="0" w:color="auto"/>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SAINT RAPHAEL</w:t>
            </w:r>
          </w:p>
        </w:tc>
        <w:tc>
          <w:tcPr>
            <w:tcW w:w="699" w:type="pct"/>
            <w:tcBorders>
              <w:bottom w:val="single" w:sz="4" w:space="0" w:color="auto"/>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SANTE POUR TOUS</w:t>
            </w:r>
          </w:p>
        </w:tc>
        <w:tc>
          <w:tcPr>
            <w:tcW w:w="768" w:type="pct"/>
            <w:tcBorders>
              <w:bottom w:val="single" w:sz="4" w:space="0" w:color="auto"/>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Moyenne d’ensemble</w:t>
            </w:r>
          </w:p>
        </w:tc>
      </w:tr>
      <w:tr w:rsidR="00E47DB2" w:rsidRPr="00AA3D0E" w:rsidTr="00F75BD6">
        <w:trPr>
          <w:trHeight w:val="154"/>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bottom w:val="nil"/>
            </w:tcBorders>
            <w:shd w:val="clear" w:color="auto" w:fill="auto"/>
          </w:tcPr>
          <w:p w:rsidR="00E47DB2" w:rsidRPr="00AA3D0E" w:rsidRDefault="00E47DB2" w:rsidP="001B7F2E">
            <w:pPr>
              <w:spacing w:after="0" w:line="240" w:lineRule="auto"/>
              <w:rPr>
                <w:rFonts w:ascii="Palatino Linotype" w:hAnsi="Palatino Linotype"/>
                <w:b w:val="0"/>
                <w:sz w:val="20"/>
                <w:szCs w:val="20"/>
              </w:rPr>
            </w:pPr>
            <w:r w:rsidRPr="00AA3D0E">
              <w:rPr>
                <w:rFonts w:ascii="Palatino Linotype" w:hAnsi="Palatino Linotype"/>
                <w:b w:val="0"/>
                <w:sz w:val="20"/>
                <w:szCs w:val="20"/>
              </w:rPr>
              <w:t>Ratio de liquidité immédiate</w:t>
            </w:r>
          </w:p>
        </w:tc>
        <w:tc>
          <w:tcPr>
            <w:tcW w:w="622" w:type="pct"/>
            <w:tcBorders>
              <w:top w:val="single" w:sz="4" w:space="0" w:color="auto"/>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906" w:type="pct"/>
            <w:tcBorders>
              <w:top w:val="single" w:sz="4" w:space="0" w:color="auto"/>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631" w:type="pct"/>
            <w:tcBorders>
              <w:top w:val="single" w:sz="4" w:space="0" w:color="auto"/>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699" w:type="pct"/>
            <w:tcBorders>
              <w:top w:val="single" w:sz="4" w:space="0" w:color="auto"/>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768" w:type="pct"/>
            <w:tcBorders>
              <w:top w:val="single" w:sz="4" w:space="0" w:color="auto"/>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0,25</w:t>
            </w:r>
          </w:p>
        </w:tc>
      </w:tr>
      <w:tr w:rsidR="00E47DB2" w:rsidRPr="00AA3D0E" w:rsidTr="00F75BD6">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374" w:type="pct"/>
            <w:tcBorders>
              <w:top w:val="nil"/>
            </w:tcBorders>
            <w:shd w:val="clear" w:color="auto" w:fill="auto"/>
          </w:tcPr>
          <w:p w:rsidR="00E47DB2" w:rsidRPr="00AA3D0E" w:rsidRDefault="00E47DB2" w:rsidP="001B7F2E">
            <w:pPr>
              <w:spacing w:after="0" w:line="240" w:lineRule="auto"/>
              <w:rPr>
                <w:rFonts w:ascii="Palatino Linotype" w:hAnsi="Palatino Linotype"/>
                <w:b w:val="0"/>
                <w:sz w:val="20"/>
                <w:szCs w:val="20"/>
              </w:rPr>
            </w:pPr>
            <w:r w:rsidRPr="00AA3D0E">
              <w:rPr>
                <w:rFonts w:ascii="Palatino Linotype" w:hAnsi="Palatino Linotype"/>
                <w:b w:val="0"/>
                <w:sz w:val="20"/>
                <w:szCs w:val="20"/>
              </w:rPr>
              <w:t>Ratio de capitaux propres</w:t>
            </w:r>
          </w:p>
        </w:tc>
        <w:tc>
          <w:tcPr>
            <w:tcW w:w="622" w:type="pct"/>
            <w:tcBorders>
              <w:top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906" w:type="pct"/>
            <w:tcBorders>
              <w:top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631" w:type="pct"/>
            <w:tcBorders>
              <w:top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699" w:type="pct"/>
            <w:tcBorders>
              <w:top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768" w:type="pct"/>
            <w:tcBorders>
              <w:top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r>
      <w:tr w:rsidR="00E47DB2" w:rsidRPr="00AA3D0E" w:rsidTr="00F75BD6">
        <w:trPr>
          <w:trHeight w:val="304"/>
        </w:trPr>
        <w:tc>
          <w:tcPr>
            <w:cnfStyle w:val="001000000000" w:firstRow="0" w:lastRow="0" w:firstColumn="1" w:lastColumn="0" w:oddVBand="0" w:evenVBand="0" w:oddHBand="0" w:evenHBand="0" w:firstRowFirstColumn="0" w:firstRowLastColumn="0" w:lastRowFirstColumn="0" w:lastRowLastColumn="0"/>
            <w:tcW w:w="1374" w:type="pct"/>
            <w:shd w:val="clear" w:color="auto" w:fill="auto"/>
          </w:tcPr>
          <w:p w:rsidR="00E47DB2" w:rsidRPr="00AA3D0E" w:rsidRDefault="00E47DB2" w:rsidP="001B7F2E">
            <w:pPr>
              <w:spacing w:after="0" w:line="240" w:lineRule="auto"/>
              <w:rPr>
                <w:rFonts w:ascii="Palatino Linotype" w:hAnsi="Palatino Linotype"/>
                <w:b w:val="0"/>
                <w:sz w:val="20"/>
                <w:szCs w:val="20"/>
              </w:rPr>
            </w:pPr>
            <w:r w:rsidRPr="00AA3D0E">
              <w:rPr>
                <w:rFonts w:ascii="Palatino Linotype" w:hAnsi="Palatino Linotype"/>
                <w:b w:val="0"/>
                <w:sz w:val="20"/>
                <w:szCs w:val="20"/>
              </w:rPr>
              <w:t xml:space="preserve">Ratio de couverture des charges ou taux de réserve </w:t>
            </w:r>
          </w:p>
        </w:tc>
        <w:tc>
          <w:tcPr>
            <w:tcW w:w="622"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906"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631"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699"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768"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0,25</w:t>
            </w:r>
          </w:p>
        </w:tc>
      </w:tr>
      <w:tr w:rsidR="00E47DB2" w:rsidRPr="00AA3D0E" w:rsidTr="00F75BD6">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374" w:type="pct"/>
            <w:shd w:val="clear" w:color="auto" w:fill="auto"/>
          </w:tcPr>
          <w:p w:rsidR="00E47DB2" w:rsidRPr="00AA3D0E" w:rsidRDefault="00E47DB2" w:rsidP="001B7F2E">
            <w:pPr>
              <w:spacing w:after="0" w:line="240" w:lineRule="auto"/>
              <w:rPr>
                <w:rFonts w:ascii="Palatino Linotype" w:hAnsi="Palatino Linotype"/>
                <w:b w:val="0"/>
                <w:sz w:val="20"/>
                <w:szCs w:val="20"/>
              </w:rPr>
            </w:pPr>
            <w:r w:rsidRPr="00AA3D0E">
              <w:rPr>
                <w:rFonts w:ascii="Palatino Linotype" w:hAnsi="Palatino Linotype"/>
                <w:b w:val="0"/>
                <w:sz w:val="20"/>
                <w:szCs w:val="20"/>
              </w:rPr>
              <w:t>Ratio des cotisations acquises/charges totales</w:t>
            </w:r>
          </w:p>
        </w:tc>
        <w:tc>
          <w:tcPr>
            <w:tcW w:w="622"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906"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631"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699"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768"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0,5</w:t>
            </w:r>
          </w:p>
        </w:tc>
      </w:tr>
      <w:tr w:rsidR="00E47DB2" w:rsidRPr="00AA3D0E" w:rsidTr="00F75BD6">
        <w:trPr>
          <w:trHeight w:val="423"/>
        </w:trPr>
        <w:tc>
          <w:tcPr>
            <w:cnfStyle w:val="001000000000" w:firstRow="0" w:lastRow="0" w:firstColumn="1" w:lastColumn="0" w:oddVBand="0" w:evenVBand="0" w:oddHBand="0" w:evenHBand="0" w:firstRowFirstColumn="0" w:firstRowLastColumn="0" w:lastRowFirstColumn="0" w:lastRowLastColumn="0"/>
            <w:tcW w:w="1374" w:type="pct"/>
            <w:shd w:val="clear" w:color="auto" w:fill="auto"/>
          </w:tcPr>
          <w:p w:rsidR="00E47DB2" w:rsidRPr="00AA3D0E" w:rsidRDefault="00E47DB2" w:rsidP="001B7F2E">
            <w:pPr>
              <w:spacing w:after="0" w:line="240" w:lineRule="auto"/>
              <w:rPr>
                <w:rFonts w:ascii="Palatino Linotype" w:hAnsi="Palatino Linotype"/>
                <w:b w:val="0"/>
                <w:sz w:val="20"/>
                <w:szCs w:val="20"/>
              </w:rPr>
            </w:pPr>
            <w:r w:rsidRPr="00AA3D0E">
              <w:rPr>
                <w:rFonts w:ascii="Palatino Linotype" w:hAnsi="Palatino Linotype"/>
                <w:b w:val="0"/>
                <w:sz w:val="20"/>
                <w:szCs w:val="20"/>
              </w:rPr>
              <w:t xml:space="preserve">Ratio de sinistralité= (Prestations totales)/(Cotisations acquises) </w:t>
            </w:r>
          </w:p>
        </w:tc>
        <w:tc>
          <w:tcPr>
            <w:tcW w:w="622"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906"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631"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699"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1</w:t>
            </w:r>
          </w:p>
        </w:tc>
        <w:tc>
          <w:tcPr>
            <w:tcW w:w="768" w:type="pct"/>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0,5</w:t>
            </w:r>
          </w:p>
        </w:tc>
      </w:tr>
      <w:tr w:rsidR="00E47DB2" w:rsidRPr="00AA3D0E" w:rsidTr="00F75BD6">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374" w:type="pct"/>
            <w:shd w:val="clear" w:color="auto" w:fill="auto"/>
          </w:tcPr>
          <w:p w:rsidR="00E47DB2" w:rsidRPr="00AA3D0E" w:rsidRDefault="00E47DB2" w:rsidP="001B7F2E">
            <w:pPr>
              <w:spacing w:after="0" w:line="240" w:lineRule="auto"/>
              <w:rPr>
                <w:rFonts w:ascii="Palatino Linotype" w:hAnsi="Palatino Linotype"/>
                <w:b w:val="0"/>
                <w:sz w:val="20"/>
                <w:szCs w:val="20"/>
              </w:rPr>
            </w:pPr>
            <w:r w:rsidRPr="00AA3D0E">
              <w:rPr>
                <w:rFonts w:ascii="Palatino Linotype" w:hAnsi="Palatino Linotype"/>
                <w:b w:val="0"/>
                <w:sz w:val="20"/>
                <w:szCs w:val="20"/>
              </w:rPr>
              <w:t>Ratio des frais de fonctionnement brut</w:t>
            </w:r>
          </w:p>
        </w:tc>
        <w:tc>
          <w:tcPr>
            <w:tcW w:w="622"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906"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631"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699"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c>
          <w:tcPr>
            <w:tcW w:w="768" w:type="pct"/>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0</w:t>
            </w:r>
          </w:p>
        </w:tc>
      </w:tr>
      <w:tr w:rsidR="00E47DB2" w:rsidRPr="00AA3D0E" w:rsidTr="00F75BD6">
        <w:trPr>
          <w:trHeight w:val="47"/>
        </w:trPr>
        <w:tc>
          <w:tcPr>
            <w:cnfStyle w:val="001000000000" w:firstRow="0" w:lastRow="0" w:firstColumn="1" w:lastColumn="0" w:oddVBand="0" w:evenVBand="0" w:oddHBand="0" w:evenHBand="0" w:firstRowFirstColumn="0" w:firstRowLastColumn="0" w:lastRowFirstColumn="0" w:lastRowLastColumn="0"/>
            <w:tcW w:w="1374" w:type="pct"/>
            <w:tcBorders>
              <w:bottom w:val="nil"/>
            </w:tcBorders>
            <w:shd w:val="clear" w:color="auto" w:fill="auto"/>
          </w:tcPr>
          <w:p w:rsidR="00E47DB2" w:rsidRPr="00AA3D0E" w:rsidRDefault="00E47DB2" w:rsidP="001B7F2E">
            <w:pPr>
              <w:spacing w:after="0" w:line="240" w:lineRule="auto"/>
              <w:rPr>
                <w:rFonts w:ascii="Palatino Linotype" w:hAnsi="Palatino Linotype"/>
                <w:b w:val="0"/>
                <w:sz w:val="20"/>
                <w:szCs w:val="20"/>
              </w:rPr>
            </w:pPr>
            <w:r>
              <w:rPr>
                <w:rFonts w:ascii="Palatino Linotype" w:hAnsi="Palatino Linotype"/>
                <w:b w:val="0"/>
                <w:sz w:val="20"/>
                <w:szCs w:val="20"/>
              </w:rPr>
              <w:t>côte globale sur  6</w:t>
            </w:r>
          </w:p>
        </w:tc>
        <w:tc>
          <w:tcPr>
            <w:tcW w:w="622" w:type="pct"/>
            <w:tcBorders>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2</w:t>
            </w:r>
          </w:p>
        </w:tc>
        <w:tc>
          <w:tcPr>
            <w:tcW w:w="906" w:type="pct"/>
            <w:tcBorders>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4</w:t>
            </w:r>
          </w:p>
        </w:tc>
        <w:tc>
          <w:tcPr>
            <w:tcW w:w="631" w:type="pct"/>
            <w:tcBorders>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2</w:t>
            </w:r>
          </w:p>
        </w:tc>
        <w:tc>
          <w:tcPr>
            <w:tcW w:w="699" w:type="pct"/>
            <w:tcBorders>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2</w:t>
            </w:r>
          </w:p>
        </w:tc>
        <w:tc>
          <w:tcPr>
            <w:tcW w:w="768" w:type="pct"/>
            <w:tcBorders>
              <w:bottom w:val="nil"/>
            </w:tcBorders>
            <w:shd w:val="clear" w:color="auto" w:fill="auto"/>
          </w:tcPr>
          <w:p w:rsidR="00E47DB2" w:rsidRPr="00AA3D0E" w:rsidRDefault="00E47DB2" w:rsidP="001B7F2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A3D0E">
              <w:rPr>
                <w:rFonts w:ascii="Palatino Linotype" w:hAnsi="Palatino Linotype"/>
                <w:sz w:val="20"/>
                <w:szCs w:val="20"/>
              </w:rPr>
              <w:t>2,5</w:t>
            </w:r>
          </w:p>
        </w:tc>
      </w:tr>
      <w:tr w:rsidR="00E47DB2" w:rsidRPr="00AA3D0E" w:rsidTr="00F75BD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74" w:type="pct"/>
            <w:tcBorders>
              <w:top w:val="nil"/>
              <w:bottom w:val="nil"/>
            </w:tcBorders>
            <w:shd w:val="clear" w:color="auto" w:fill="auto"/>
          </w:tcPr>
          <w:p w:rsidR="00E47DB2" w:rsidRPr="00AA3D0E" w:rsidRDefault="00E47DB2" w:rsidP="001B7F2E">
            <w:pPr>
              <w:spacing w:after="0" w:line="240" w:lineRule="auto"/>
              <w:rPr>
                <w:rFonts w:ascii="Palatino Linotype" w:hAnsi="Palatino Linotype"/>
                <w:b w:val="0"/>
                <w:sz w:val="20"/>
                <w:szCs w:val="20"/>
              </w:rPr>
            </w:pPr>
            <w:r>
              <w:rPr>
                <w:rFonts w:ascii="Palatino Linotype" w:hAnsi="Palatino Linotype"/>
                <w:b w:val="0"/>
                <w:sz w:val="20"/>
                <w:szCs w:val="20"/>
              </w:rPr>
              <w:t>Pourcentage</w:t>
            </w:r>
          </w:p>
        </w:tc>
        <w:tc>
          <w:tcPr>
            <w:tcW w:w="622" w:type="pct"/>
            <w:tcBorders>
              <w:top w:val="nil"/>
              <w:bottom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Pr>
                <w:rFonts w:ascii="Palatino Linotype" w:hAnsi="Palatino Linotype"/>
                <w:b/>
                <w:sz w:val="20"/>
                <w:szCs w:val="20"/>
              </w:rPr>
              <w:t>33,3%</w:t>
            </w:r>
          </w:p>
        </w:tc>
        <w:tc>
          <w:tcPr>
            <w:tcW w:w="906" w:type="pct"/>
            <w:tcBorders>
              <w:top w:val="nil"/>
              <w:bottom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Pr>
                <w:rFonts w:ascii="Palatino Linotype" w:hAnsi="Palatino Linotype"/>
                <w:b/>
                <w:sz w:val="20"/>
                <w:szCs w:val="20"/>
              </w:rPr>
              <w:t>66,6%</w:t>
            </w:r>
          </w:p>
        </w:tc>
        <w:tc>
          <w:tcPr>
            <w:tcW w:w="631" w:type="pct"/>
            <w:tcBorders>
              <w:top w:val="nil"/>
              <w:bottom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Pr>
                <w:rFonts w:ascii="Palatino Linotype" w:hAnsi="Palatino Linotype"/>
                <w:b/>
                <w:sz w:val="20"/>
                <w:szCs w:val="20"/>
              </w:rPr>
              <w:t>33,3%</w:t>
            </w:r>
          </w:p>
        </w:tc>
        <w:tc>
          <w:tcPr>
            <w:tcW w:w="699" w:type="pct"/>
            <w:tcBorders>
              <w:top w:val="nil"/>
              <w:bottom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Pr>
                <w:rFonts w:ascii="Palatino Linotype" w:hAnsi="Palatino Linotype"/>
                <w:b/>
                <w:sz w:val="20"/>
                <w:szCs w:val="20"/>
              </w:rPr>
              <w:t>33,3%</w:t>
            </w:r>
          </w:p>
        </w:tc>
        <w:tc>
          <w:tcPr>
            <w:tcW w:w="768" w:type="pct"/>
            <w:tcBorders>
              <w:top w:val="nil"/>
              <w:bottom w:val="nil"/>
            </w:tcBorders>
            <w:shd w:val="clear" w:color="auto" w:fill="auto"/>
          </w:tcPr>
          <w:p w:rsidR="00E47DB2" w:rsidRPr="00AA3D0E" w:rsidRDefault="00E47DB2" w:rsidP="001B7F2E">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Pr>
                <w:rFonts w:ascii="Palatino Linotype" w:hAnsi="Palatino Linotype"/>
                <w:b/>
                <w:sz w:val="20"/>
                <w:szCs w:val="20"/>
              </w:rPr>
              <w:t>41,6%</w:t>
            </w:r>
          </w:p>
        </w:tc>
      </w:tr>
    </w:tbl>
    <w:p w:rsidR="00A82282" w:rsidRDefault="00A82282" w:rsidP="001D4C9F">
      <w:pPr>
        <w:pBdr>
          <w:top w:val="single" w:sz="4" w:space="1" w:color="auto"/>
        </w:pBdr>
        <w:spacing w:after="0"/>
      </w:pPr>
    </w:p>
    <w:p w:rsidR="00A82282" w:rsidRDefault="00A82282">
      <w:pPr>
        <w:spacing w:after="160" w:line="259" w:lineRule="auto"/>
      </w:pPr>
      <w:r>
        <w:br w:type="page"/>
      </w:r>
    </w:p>
    <w:tbl>
      <w:tblPr>
        <w:tblStyle w:val="TableauListe6Couleur1"/>
        <w:tblW w:w="5000" w:type="pct"/>
        <w:tblLook w:val="04A0" w:firstRow="1" w:lastRow="0" w:firstColumn="1" w:lastColumn="0" w:noHBand="0" w:noVBand="1"/>
      </w:tblPr>
      <w:tblGrid>
        <w:gridCol w:w="3411"/>
        <w:gridCol w:w="1312"/>
        <w:gridCol w:w="1937"/>
        <w:gridCol w:w="1282"/>
        <w:gridCol w:w="1561"/>
        <w:gridCol w:w="1129"/>
      </w:tblGrid>
      <w:tr w:rsidR="00C37303" w:rsidRPr="000C2A53" w:rsidTr="00F75BD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bottom w:val="single" w:sz="4" w:space="0" w:color="auto"/>
            </w:tcBorders>
            <w:shd w:val="clear" w:color="auto" w:fill="auto"/>
          </w:tcPr>
          <w:p w:rsidR="00C37303" w:rsidRPr="000C2A53" w:rsidRDefault="00A82282" w:rsidP="00B616DD">
            <w:pPr>
              <w:spacing w:after="0" w:line="240" w:lineRule="auto"/>
              <w:rPr>
                <w:rFonts w:ascii="Palatino Linotype" w:hAnsi="Palatino Linotype"/>
                <w:sz w:val="20"/>
                <w:szCs w:val="20"/>
              </w:rPr>
            </w:pPr>
            <w:r>
              <w:rPr>
                <w:rFonts w:ascii="Palatino Linotype" w:hAnsi="Palatino Linotype"/>
                <w:sz w:val="20"/>
                <w:szCs w:val="20"/>
              </w:rPr>
              <w:lastRenderedPageBreak/>
              <w:t>T</w:t>
            </w:r>
            <w:r w:rsidR="00C37303" w:rsidRPr="00B616DD">
              <w:rPr>
                <w:rFonts w:ascii="Palatino Linotype" w:hAnsi="Palatino Linotype" w:cs="Times New Roman"/>
                <w:sz w:val="20"/>
                <w:szCs w:val="20"/>
              </w:rPr>
              <w:t>ableau VII. Indicateurs calculés concernant la viabilité fonctionnelle par mutuelle de santé</w:t>
            </w:r>
          </w:p>
        </w:tc>
      </w:tr>
      <w:tr w:rsidR="00F75BD6" w:rsidRPr="000C2A53" w:rsidTr="00F75BD6">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604" w:type="pct"/>
            <w:tcBorders>
              <w:top w:val="single" w:sz="4" w:space="0" w:color="auto"/>
              <w:bottom w:val="single" w:sz="4" w:space="0" w:color="auto"/>
            </w:tcBorders>
            <w:shd w:val="clear" w:color="auto" w:fill="auto"/>
          </w:tcPr>
          <w:p w:rsidR="00B616DD" w:rsidRPr="000C2A53" w:rsidRDefault="00B616DD" w:rsidP="00B616DD">
            <w:pPr>
              <w:spacing w:after="0" w:line="240" w:lineRule="auto"/>
              <w:rPr>
                <w:rFonts w:ascii="Palatino Linotype" w:hAnsi="Palatino Linotype"/>
                <w:b w:val="0"/>
                <w:sz w:val="20"/>
                <w:szCs w:val="20"/>
              </w:rPr>
            </w:pPr>
            <w:r w:rsidRPr="000C2A53">
              <w:rPr>
                <w:rFonts w:ascii="Palatino Linotype" w:hAnsi="Palatino Linotype"/>
                <w:b w:val="0"/>
                <w:sz w:val="20"/>
                <w:szCs w:val="20"/>
              </w:rPr>
              <w:t>Variables(Items)</w:t>
            </w:r>
          </w:p>
        </w:tc>
        <w:tc>
          <w:tcPr>
            <w:tcW w:w="617" w:type="pct"/>
            <w:tcBorders>
              <w:top w:val="single" w:sz="4" w:space="0" w:color="auto"/>
              <w:bottom w:val="single" w:sz="4" w:space="0" w:color="auto"/>
            </w:tcBorders>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MUSACOM</w:t>
            </w:r>
          </w:p>
        </w:tc>
        <w:tc>
          <w:tcPr>
            <w:tcW w:w="911" w:type="pct"/>
            <w:tcBorders>
              <w:top w:val="single" w:sz="4" w:space="0" w:color="auto"/>
              <w:bottom w:val="single" w:sz="4" w:space="0" w:color="auto"/>
            </w:tcBorders>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MUSANOVIE</w:t>
            </w:r>
          </w:p>
        </w:tc>
        <w:tc>
          <w:tcPr>
            <w:tcW w:w="603" w:type="pct"/>
            <w:tcBorders>
              <w:top w:val="single" w:sz="4" w:space="0" w:color="auto"/>
              <w:bottom w:val="single" w:sz="4" w:space="0" w:color="auto"/>
            </w:tcBorders>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SAINT RAPHAEL</w:t>
            </w:r>
          </w:p>
        </w:tc>
        <w:tc>
          <w:tcPr>
            <w:tcW w:w="734" w:type="pct"/>
            <w:tcBorders>
              <w:top w:val="single" w:sz="4" w:space="0" w:color="auto"/>
              <w:bottom w:val="single" w:sz="4" w:space="0" w:color="auto"/>
            </w:tcBorders>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SANTE POUR TOUS</w:t>
            </w:r>
          </w:p>
        </w:tc>
        <w:tc>
          <w:tcPr>
            <w:tcW w:w="531" w:type="pct"/>
            <w:tcBorders>
              <w:top w:val="single" w:sz="4" w:space="0" w:color="auto"/>
              <w:bottom w:val="single" w:sz="4" w:space="0" w:color="auto"/>
            </w:tcBorders>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Normes</w:t>
            </w:r>
          </w:p>
        </w:tc>
      </w:tr>
      <w:tr w:rsidR="00B616DD" w:rsidRPr="000C2A53" w:rsidTr="00F75BD6">
        <w:trPr>
          <w:trHeight w:val="47"/>
        </w:trPr>
        <w:tc>
          <w:tcPr>
            <w:cnfStyle w:val="001000000000" w:firstRow="0" w:lastRow="0" w:firstColumn="1" w:lastColumn="0" w:oddVBand="0" w:evenVBand="0" w:oddHBand="0" w:evenHBand="0" w:firstRowFirstColumn="0" w:firstRowLastColumn="0" w:lastRowFirstColumn="0" w:lastRowLastColumn="0"/>
            <w:tcW w:w="1604" w:type="pct"/>
            <w:tcBorders>
              <w:top w:val="single" w:sz="4" w:space="0" w:color="auto"/>
            </w:tcBorders>
            <w:shd w:val="clear" w:color="auto" w:fill="auto"/>
          </w:tcPr>
          <w:p w:rsidR="00B616DD" w:rsidRPr="000C2A53" w:rsidRDefault="00B616DD" w:rsidP="00B616DD">
            <w:pPr>
              <w:spacing w:after="0" w:line="240" w:lineRule="auto"/>
              <w:rPr>
                <w:rFonts w:ascii="Palatino Linotype" w:hAnsi="Palatino Linotype"/>
                <w:b w:val="0"/>
                <w:sz w:val="20"/>
                <w:szCs w:val="20"/>
              </w:rPr>
            </w:pPr>
            <w:r w:rsidRPr="000C2A53">
              <w:rPr>
                <w:rFonts w:ascii="Palatino Linotype" w:hAnsi="Palatino Linotype"/>
                <w:b w:val="0"/>
                <w:sz w:val="20"/>
                <w:szCs w:val="20"/>
              </w:rPr>
              <w:t xml:space="preserve"> Taux de croissance brut </w:t>
            </w:r>
          </w:p>
        </w:tc>
        <w:tc>
          <w:tcPr>
            <w:tcW w:w="617" w:type="pct"/>
            <w:tcBorders>
              <w:top w:val="single" w:sz="4" w:space="0" w:color="auto"/>
            </w:tcBorders>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25,286041</w:t>
            </w:r>
          </w:p>
        </w:tc>
        <w:tc>
          <w:tcPr>
            <w:tcW w:w="911" w:type="pct"/>
            <w:tcBorders>
              <w:top w:val="single" w:sz="4" w:space="0" w:color="auto"/>
            </w:tcBorders>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3,07958205</w:t>
            </w:r>
          </w:p>
        </w:tc>
        <w:tc>
          <w:tcPr>
            <w:tcW w:w="603" w:type="pct"/>
            <w:tcBorders>
              <w:top w:val="single" w:sz="4" w:space="0" w:color="auto"/>
            </w:tcBorders>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3,579766537</w:t>
            </w:r>
          </w:p>
        </w:tc>
        <w:tc>
          <w:tcPr>
            <w:tcW w:w="734" w:type="pct"/>
            <w:tcBorders>
              <w:top w:val="single" w:sz="4" w:space="0" w:color="auto"/>
            </w:tcBorders>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4,16666666</w:t>
            </w:r>
          </w:p>
        </w:tc>
        <w:tc>
          <w:tcPr>
            <w:tcW w:w="531" w:type="pct"/>
            <w:tcBorders>
              <w:top w:val="single" w:sz="4" w:space="0" w:color="auto"/>
            </w:tcBorders>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&gt; 0</w:t>
            </w:r>
          </w:p>
        </w:tc>
      </w:tr>
      <w:tr w:rsidR="00F75BD6" w:rsidRPr="000C2A53" w:rsidTr="00F75BD6">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604" w:type="pct"/>
            <w:shd w:val="clear" w:color="auto" w:fill="auto"/>
          </w:tcPr>
          <w:p w:rsidR="00B616DD" w:rsidRPr="000C2A53" w:rsidRDefault="00B616DD" w:rsidP="00B616DD">
            <w:pPr>
              <w:spacing w:after="0" w:line="240" w:lineRule="auto"/>
              <w:rPr>
                <w:rFonts w:ascii="Palatino Linotype" w:hAnsi="Palatino Linotype"/>
                <w:b w:val="0"/>
                <w:sz w:val="20"/>
                <w:szCs w:val="20"/>
              </w:rPr>
            </w:pPr>
            <w:r w:rsidRPr="000C2A53">
              <w:rPr>
                <w:rFonts w:ascii="Palatino Linotype" w:hAnsi="Palatino Linotype"/>
                <w:b w:val="0"/>
                <w:sz w:val="20"/>
                <w:szCs w:val="20"/>
              </w:rPr>
              <w:t>Taux de fidélisation</w:t>
            </w:r>
          </w:p>
        </w:tc>
        <w:tc>
          <w:tcPr>
            <w:tcW w:w="617"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83,600142</w:t>
            </w:r>
          </w:p>
        </w:tc>
        <w:tc>
          <w:tcPr>
            <w:tcW w:w="911"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100</w:t>
            </w:r>
          </w:p>
        </w:tc>
        <w:tc>
          <w:tcPr>
            <w:tcW w:w="603"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81,71206226</w:t>
            </w:r>
          </w:p>
        </w:tc>
        <w:tc>
          <w:tcPr>
            <w:tcW w:w="734"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100</w:t>
            </w:r>
          </w:p>
        </w:tc>
        <w:tc>
          <w:tcPr>
            <w:tcW w:w="531"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80%</w:t>
            </w:r>
          </w:p>
        </w:tc>
      </w:tr>
      <w:tr w:rsidR="00B616DD" w:rsidRPr="000C2A53" w:rsidTr="00F75BD6">
        <w:trPr>
          <w:trHeight w:val="47"/>
        </w:trPr>
        <w:tc>
          <w:tcPr>
            <w:cnfStyle w:val="001000000000" w:firstRow="0" w:lastRow="0" w:firstColumn="1" w:lastColumn="0" w:oddVBand="0" w:evenVBand="0" w:oddHBand="0" w:evenHBand="0" w:firstRowFirstColumn="0" w:firstRowLastColumn="0" w:lastRowFirstColumn="0" w:lastRowLastColumn="0"/>
            <w:tcW w:w="1604" w:type="pct"/>
            <w:shd w:val="clear" w:color="auto" w:fill="auto"/>
          </w:tcPr>
          <w:p w:rsidR="00B616DD" w:rsidRPr="000C2A53" w:rsidRDefault="00B616DD" w:rsidP="00B616DD">
            <w:pPr>
              <w:spacing w:after="0" w:line="240" w:lineRule="auto"/>
              <w:rPr>
                <w:rFonts w:ascii="Palatino Linotype" w:hAnsi="Palatino Linotype"/>
                <w:b w:val="0"/>
                <w:sz w:val="20"/>
                <w:szCs w:val="20"/>
              </w:rPr>
            </w:pPr>
            <w:r w:rsidRPr="000C2A53">
              <w:rPr>
                <w:rFonts w:ascii="Palatino Linotype" w:hAnsi="Palatino Linotype"/>
                <w:b w:val="0"/>
                <w:sz w:val="20"/>
                <w:szCs w:val="20"/>
              </w:rPr>
              <w:t>Taux de croissance interne</w:t>
            </w:r>
          </w:p>
        </w:tc>
        <w:tc>
          <w:tcPr>
            <w:tcW w:w="617"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25,286041</w:t>
            </w:r>
          </w:p>
        </w:tc>
        <w:tc>
          <w:tcPr>
            <w:tcW w:w="911"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3,07958205</w:t>
            </w:r>
          </w:p>
        </w:tc>
        <w:tc>
          <w:tcPr>
            <w:tcW w:w="603"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3,5797665</w:t>
            </w:r>
          </w:p>
        </w:tc>
        <w:tc>
          <w:tcPr>
            <w:tcW w:w="734"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104,166666</w:t>
            </w:r>
          </w:p>
        </w:tc>
        <w:tc>
          <w:tcPr>
            <w:tcW w:w="531"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&gt; 0</w:t>
            </w:r>
          </w:p>
        </w:tc>
      </w:tr>
      <w:tr w:rsidR="00F75BD6" w:rsidRPr="000C2A53" w:rsidTr="00F75BD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04" w:type="pct"/>
            <w:shd w:val="clear" w:color="auto" w:fill="auto"/>
          </w:tcPr>
          <w:p w:rsidR="00B616DD" w:rsidRPr="000C2A53" w:rsidRDefault="00B616DD" w:rsidP="00B616DD">
            <w:pPr>
              <w:spacing w:after="0" w:line="240" w:lineRule="auto"/>
              <w:rPr>
                <w:rFonts w:ascii="Palatino Linotype" w:hAnsi="Palatino Linotype"/>
                <w:b w:val="0"/>
                <w:sz w:val="20"/>
                <w:szCs w:val="20"/>
              </w:rPr>
            </w:pPr>
            <w:r w:rsidRPr="000C2A53">
              <w:rPr>
                <w:rFonts w:ascii="Palatino Linotype" w:hAnsi="Palatino Linotype"/>
                <w:b w:val="0"/>
                <w:sz w:val="20"/>
                <w:szCs w:val="20"/>
              </w:rPr>
              <w:t>Taux de pénétration</w:t>
            </w:r>
          </w:p>
        </w:tc>
        <w:tc>
          <w:tcPr>
            <w:tcW w:w="617"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0,3662272</w:t>
            </w:r>
          </w:p>
        </w:tc>
        <w:tc>
          <w:tcPr>
            <w:tcW w:w="911"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0,25419210</w:t>
            </w:r>
          </w:p>
        </w:tc>
        <w:tc>
          <w:tcPr>
            <w:tcW w:w="603"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0,2795003</w:t>
            </w:r>
          </w:p>
        </w:tc>
        <w:tc>
          <w:tcPr>
            <w:tcW w:w="734"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0,05263157</w:t>
            </w:r>
          </w:p>
        </w:tc>
        <w:tc>
          <w:tcPr>
            <w:tcW w:w="531"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80%</w:t>
            </w:r>
          </w:p>
        </w:tc>
      </w:tr>
      <w:tr w:rsidR="00B616DD" w:rsidRPr="000C2A53" w:rsidTr="00F75BD6">
        <w:trPr>
          <w:trHeight w:val="47"/>
        </w:trPr>
        <w:tc>
          <w:tcPr>
            <w:cnfStyle w:val="001000000000" w:firstRow="0" w:lastRow="0" w:firstColumn="1" w:lastColumn="0" w:oddVBand="0" w:evenVBand="0" w:oddHBand="0" w:evenHBand="0" w:firstRowFirstColumn="0" w:firstRowLastColumn="0" w:lastRowFirstColumn="0" w:lastRowLastColumn="0"/>
            <w:tcW w:w="1604" w:type="pct"/>
            <w:shd w:val="clear" w:color="auto" w:fill="auto"/>
          </w:tcPr>
          <w:p w:rsidR="00B616DD" w:rsidRPr="000C2A53" w:rsidRDefault="00B616DD" w:rsidP="00B616DD">
            <w:pPr>
              <w:spacing w:after="0" w:line="240" w:lineRule="auto"/>
              <w:rPr>
                <w:rFonts w:ascii="Palatino Linotype" w:hAnsi="Palatino Linotype"/>
                <w:b w:val="0"/>
                <w:sz w:val="20"/>
                <w:szCs w:val="20"/>
              </w:rPr>
            </w:pPr>
            <w:r w:rsidRPr="000C2A53">
              <w:rPr>
                <w:rFonts w:ascii="Palatino Linotype" w:hAnsi="Palatino Linotype"/>
                <w:b w:val="0"/>
                <w:sz w:val="20"/>
                <w:szCs w:val="20"/>
              </w:rPr>
              <w:t>Taux de recouvrement</w:t>
            </w:r>
          </w:p>
        </w:tc>
        <w:tc>
          <w:tcPr>
            <w:tcW w:w="617"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72,380733</w:t>
            </w:r>
          </w:p>
        </w:tc>
        <w:tc>
          <w:tcPr>
            <w:tcW w:w="911"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100</w:t>
            </w:r>
          </w:p>
        </w:tc>
        <w:tc>
          <w:tcPr>
            <w:tcW w:w="603"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52,967843</w:t>
            </w:r>
          </w:p>
        </w:tc>
        <w:tc>
          <w:tcPr>
            <w:tcW w:w="734"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100</w:t>
            </w:r>
          </w:p>
        </w:tc>
        <w:tc>
          <w:tcPr>
            <w:tcW w:w="531" w:type="pct"/>
            <w:shd w:val="clear" w:color="auto" w:fill="auto"/>
          </w:tcPr>
          <w:p w:rsidR="00B616DD" w:rsidRPr="000C2A53"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100%</w:t>
            </w:r>
          </w:p>
        </w:tc>
      </w:tr>
      <w:tr w:rsidR="00F75BD6" w:rsidRPr="000C2A53" w:rsidTr="00F75BD6">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604" w:type="pct"/>
            <w:shd w:val="clear" w:color="auto" w:fill="auto"/>
          </w:tcPr>
          <w:p w:rsidR="00B616DD" w:rsidRPr="000C2A53" w:rsidRDefault="00B616DD" w:rsidP="00B616DD">
            <w:pPr>
              <w:spacing w:after="0" w:line="240" w:lineRule="auto"/>
              <w:rPr>
                <w:rFonts w:ascii="Palatino Linotype" w:hAnsi="Palatino Linotype"/>
                <w:b w:val="0"/>
                <w:sz w:val="20"/>
                <w:szCs w:val="20"/>
              </w:rPr>
            </w:pPr>
            <w:r w:rsidRPr="000C2A53">
              <w:rPr>
                <w:rFonts w:ascii="Palatino Linotype" w:hAnsi="Palatino Linotype"/>
                <w:b w:val="0"/>
                <w:sz w:val="20"/>
                <w:szCs w:val="20"/>
              </w:rPr>
              <w:t>Délai moyen de paiement des prestataires ou de remboursement des adhérents</w:t>
            </w:r>
          </w:p>
        </w:tc>
        <w:tc>
          <w:tcPr>
            <w:tcW w:w="617"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68,482405</w:t>
            </w:r>
          </w:p>
        </w:tc>
        <w:tc>
          <w:tcPr>
            <w:tcW w:w="911"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0</w:t>
            </w:r>
          </w:p>
        </w:tc>
        <w:tc>
          <w:tcPr>
            <w:tcW w:w="603"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125,02287</w:t>
            </w:r>
          </w:p>
        </w:tc>
        <w:tc>
          <w:tcPr>
            <w:tcW w:w="734" w:type="pct"/>
            <w:shd w:val="clear" w:color="auto" w:fill="auto"/>
          </w:tcPr>
          <w:p w:rsidR="00B616DD" w:rsidRPr="000C2A53"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C2A53">
              <w:rPr>
                <w:rFonts w:ascii="Palatino Linotype" w:hAnsi="Palatino Linotype"/>
                <w:sz w:val="20"/>
                <w:szCs w:val="20"/>
              </w:rPr>
              <w:t>0</w:t>
            </w:r>
          </w:p>
        </w:tc>
        <w:tc>
          <w:tcPr>
            <w:tcW w:w="531" w:type="pct"/>
            <w:shd w:val="clear" w:color="auto" w:fill="auto"/>
          </w:tcPr>
          <w:p w:rsidR="00B616DD" w:rsidRPr="000C2A53" w:rsidRDefault="00F75BD6"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30 jours</w:t>
            </w:r>
          </w:p>
        </w:tc>
      </w:tr>
    </w:tbl>
    <w:p w:rsidR="001D4C9F" w:rsidRDefault="001D4C9F" w:rsidP="00B616DD">
      <w:pPr>
        <w:spacing w:after="0" w:line="240" w:lineRule="auto"/>
        <w:jc w:val="both"/>
        <w:rPr>
          <w:rFonts w:ascii="Palatino Linotype" w:hAnsi="Palatino Linotype" w:cs="Times New Roman"/>
          <w:sz w:val="20"/>
          <w:szCs w:val="20"/>
        </w:rPr>
      </w:pPr>
    </w:p>
    <w:tbl>
      <w:tblPr>
        <w:tblStyle w:val="TableauListe6Couleur1"/>
        <w:tblW w:w="5000" w:type="pct"/>
        <w:tblLook w:val="04A0" w:firstRow="1" w:lastRow="0" w:firstColumn="1" w:lastColumn="0" w:noHBand="0" w:noVBand="1"/>
      </w:tblPr>
      <w:tblGrid>
        <w:gridCol w:w="3509"/>
        <w:gridCol w:w="1312"/>
        <w:gridCol w:w="1480"/>
        <w:gridCol w:w="1282"/>
        <w:gridCol w:w="1444"/>
        <w:gridCol w:w="1605"/>
      </w:tblGrid>
      <w:tr w:rsidR="00C37303" w:rsidRPr="00585DB1" w:rsidTr="00585D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bottom w:val="single" w:sz="4" w:space="0" w:color="auto"/>
            </w:tcBorders>
            <w:shd w:val="clear" w:color="auto" w:fill="auto"/>
          </w:tcPr>
          <w:p w:rsidR="00C37303" w:rsidRPr="00585DB1" w:rsidRDefault="00C37303" w:rsidP="00B616DD">
            <w:pPr>
              <w:spacing w:after="0" w:line="240" w:lineRule="auto"/>
              <w:rPr>
                <w:rFonts w:ascii="Palatino Linotype" w:hAnsi="Palatino Linotype"/>
                <w:b w:val="0"/>
                <w:sz w:val="20"/>
                <w:szCs w:val="20"/>
              </w:rPr>
            </w:pPr>
            <w:r w:rsidRPr="00585DB1">
              <w:rPr>
                <w:rFonts w:ascii="Palatino Linotype" w:hAnsi="Palatino Linotype" w:cs="Times New Roman"/>
                <w:b w:val="0"/>
                <w:sz w:val="20"/>
                <w:szCs w:val="20"/>
              </w:rPr>
              <w:t>Tableau VIII. Indicateurs calculés concernant la viabilité financière par mutuelle de santé</w:t>
            </w:r>
          </w:p>
        </w:tc>
      </w:tr>
      <w:tr w:rsidR="00B616DD" w:rsidRPr="00585DB1" w:rsidTr="00585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pct"/>
            <w:tcBorders>
              <w:top w:val="single" w:sz="4" w:space="0" w:color="auto"/>
              <w:bottom w:val="single" w:sz="4" w:space="0" w:color="auto"/>
            </w:tcBorders>
            <w:shd w:val="clear" w:color="auto" w:fill="auto"/>
          </w:tcPr>
          <w:p w:rsidR="00B616DD" w:rsidRPr="00585DB1" w:rsidRDefault="00B616DD" w:rsidP="00B616DD">
            <w:pPr>
              <w:spacing w:after="0" w:line="240" w:lineRule="auto"/>
              <w:rPr>
                <w:rFonts w:ascii="Palatino Linotype" w:hAnsi="Palatino Linotype"/>
                <w:b w:val="0"/>
                <w:sz w:val="20"/>
                <w:szCs w:val="20"/>
              </w:rPr>
            </w:pPr>
            <w:r w:rsidRPr="00585DB1">
              <w:rPr>
                <w:rFonts w:ascii="Palatino Linotype" w:hAnsi="Palatino Linotype"/>
                <w:b w:val="0"/>
                <w:sz w:val="20"/>
                <w:szCs w:val="20"/>
              </w:rPr>
              <w:t>Variables(Items)</w:t>
            </w:r>
          </w:p>
        </w:tc>
        <w:tc>
          <w:tcPr>
            <w:tcW w:w="617" w:type="pct"/>
            <w:tcBorders>
              <w:top w:val="single" w:sz="4" w:space="0" w:color="auto"/>
              <w:bottom w:val="single" w:sz="4" w:space="0" w:color="auto"/>
            </w:tcBorders>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MUSACOM</w:t>
            </w:r>
          </w:p>
        </w:tc>
        <w:tc>
          <w:tcPr>
            <w:tcW w:w="696" w:type="pct"/>
            <w:tcBorders>
              <w:top w:val="single" w:sz="4" w:space="0" w:color="auto"/>
              <w:bottom w:val="single" w:sz="4" w:space="0" w:color="auto"/>
            </w:tcBorders>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MUSANOVIE</w:t>
            </w:r>
          </w:p>
        </w:tc>
        <w:tc>
          <w:tcPr>
            <w:tcW w:w="603" w:type="pct"/>
            <w:tcBorders>
              <w:top w:val="single" w:sz="4" w:space="0" w:color="auto"/>
              <w:bottom w:val="single" w:sz="4" w:space="0" w:color="auto"/>
            </w:tcBorders>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SAINT RAPHAEL</w:t>
            </w:r>
          </w:p>
        </w:tc>
        <w:tc>
          <w:tcPr>
            <w:tcW w:w="679" w:type="pct"/>
            <w:tcBorders>
              <w:top w:val="single" w:sz="4" w:space="0" w:color="auto"/>
              <w:bottom w:val="single" w:sz="4" w:space="0" w:color="auto"/>
            </w:tcBorders>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SANTE POUR TOUS</w:t>
            </w:r>
          </w:p>
        </w:tc>
        <w:tc>
          <w:tcPr>
            <w:tcW w:w="755" w:type="pct"/>
            <w:tcBorders>
              <w:top w:val="single" w:sz="4" w:space="0" w:color="auto"/>
              <w:bottom w:val="single" w:sz="4" w:space="0" w:color="auto"/>
            </w:tcBorders>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Normes</w:t>
            </w:r>
          </w:p>
        </w:tc>
      </w:tr>
      <w:tr w:rsidR="00B616DD" w:rsidRPr="00585DB1" w:rsidTr="00585DB1">
        <w:trPr>
          <w:trHeight w:val="47"/>
        </w:trPr>
        <w:tc>
          <w:tcPr>
            <w:cnfStyle w:val="001000000000" w:firstRow="0" w:lastRow="0" w:firstColumn="1" w:lastColumn="0" w:oddVBand="0" w:evenVBand="0" w:oddHBand="0" w:evenHBand="0" w:firstRowFirstColumn="0" w:firstRowLastColumn="0" w:lastRowFirstColumn="0" w:lastRowLastColumn="0"/>
            <w:tcW w:w="1650" w:type="pct"/>
            <w:tcBorders>
              <w:top w:val="single" w:sz="4" w:space="0" w:color="auto"/>
            </w:tcBorders>
            <w:shd w:val="clear" w:color="auto" w:fill="auto"/>
          </w:tcPr>
          <w:p w:rsidR="00B616DD" w:rsidRPr="00585DB1" w:rsidRDefault="00B616DD" w:rsidP="00B616DD">
            <w:pPr>
              <w:spacing w:after="0" w:line="240" w:lineRule="auto"/>
              <w:rPr>
                <w:rFonts w:ascii="Palatino Linotype" w:hAnsi="Palatino Linotype"/>
                <w:b w:val="0"/>
                <w:sz w:val="20"/>
                <w:szCs w:val="20"/>
              </w:rPr>
            </w:pPr>
            <w:r w:rsidRPr="00585DB1">
              <w:rPr>
                <w:rFonts w:ascii="Palatino Linotype" w:hAnsi="Palatino Linotype"/>
                <w:b w:val="0"/>
                <w:sz w:val="20"/>
                <w:szCs w:val="20"/>
              </w:rPr>
              <w:t>Ratio de liquidité immédiate</w:t>
            </w:r>
          </w:p>
        </w:tc>
        <w:tc>
          <w:tcPr>
            <w:tcW w:w="617" w:type="pct"/>
            <w:tcBorders>
              <w:top w:val="single" w:sz="4" w:space="0" w:color="auto"/>
            </w:tcBorders>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0,2074201</w:t>
            </w:r>
          </w:p>
        </w:tc>
        <w:tc>
          <w:tcPr>
            <w:tcW w:w="696" w:type="pct"/>
            <w:tcBorders>
              <w:top w:val="single" w:sz="4" w:space="0" w:color="auto"/>
            </w:tcBorders>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3980</w:t>
            </w:r>
          </w:p>
        </w:tc>
        <w:tc>
          <w:tcPr>
            <w:tcW w:w="603" w:type="pct"/>
            <w:tcBorders>
              <w:top w:val="single" w:sz="4" w:space="0" w:color="auto"/>
            </w:tcBorders>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0,4601142</w:t>
            </w:r>
          </w:p>
        </w:tc>
        <w:tc>
          <w:tcPr>
            <w:tcW w:w="679" w:type="pct"/>
            <w:tcBorders>
              <w:top w:val="single" w:sz="4" w:space="0" w:color="auto"/>
            </w:tcBorders>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0,36487619</w:t>
            </w:r>
          </w:p>
        </w:tc>
        <w:tc>
          <w:tcPr>
            <w:tcW w:w="755" w:type="pct"/>
            <w:tcBorders>
              <w:top w:val="single" w:sz="4" w:space="0" w:color="auto"/>
            </w:tcBorders>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&gt; 1</w:t>
            </w:r>
          </w:p>
        </w:tc>
      </w:tr>
      <w:tr w:rsidR="00B616DD" w:rsidRPr="00585DB1" w:rsidTr="00585DB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650" w:type="pct"/>
            <w:shd w:val="clear" w:color="auto" w:fill="auto"/>
          </w:tcPr>
          <w:p w:rsidR="00B616DD" w:rsidRPr="00585DB1" w:rsidRDefault="00B616DD" w:rsidP="00B616DD">
            <w:pPr>
              <w:spacing w:after="0" w:line="240" w:lineRule="auto"/>
              <w:rPr>
                <w:rFonts w:ascii="Palatino Linotype" w:hAnsi="Palatino Linotype"/>
                <w:b w:val="0"/>
                <w:sz w:val="20"/>
                <w:szCs w:val="20"/>
              </w:rPr>
            </w:pPr>
            <w:r w:rsidRPr="00585DB1">
              <w:rPr>
                <w:rFonts w:ascii="Palatino Linotype" w:hAnsi="Palatino Linotype"/>
                <w:b w:val="0"/>
                <w:sz w:val="20"/>
                <w:szCs w:val="20"/>
              </w:rPr>
              <w:t>Ratio de capitaux propres</w:t>
            </w:r>
          </w:p>
        </w:tc>
        <w:tc>
          <w:tcPr>
            <w:tcW w:w="617"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532,98361</w:t>
            </w:r>
          </w:p>
        </w:tc>
        <w:tc>
          <w:tcPr>
            <w:tcW w:w="696"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125291500</w:t>
            </w:r>
          </w:p>
        </w:tc>
        <w:tc>
          <w:tcPr>
            <w:tcW w:w="603"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111,90507</w:t>
            </w:r>
          </w:p>
        </w:tc>
        <w:tc>
          <w:tcPr>
            <w:tcW w:w="679"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48,4130158</w:t>
            </w:r>
          </w:p>
        </w:tc>
        <w:tc>
          <w:tcPr>
            <w:tcW w:w="755"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&gt;100 %</w:t>
            </w:r>
          </w:p>
        </w:tc>
      </w:tr>
      <w:tr w:rsidR="00B616DD" w:rsidRPr="00585DB1" w:rsidTr="00585DB1">
        <w:trPr>
          <w:trHeight w:val="47"/>
        </w:trPr>
        <w:tc>
          <w:tcPr>
            <w:cnfStyle w:val="001000000000" w:firstRow="0" w:lastRow="0" w:firstColumn="1" w:lastColumn="0" w:oddVBand="0" w:evenVBand="0" w:oddHBand="0" w:evenHBand="0" w:firstRowFirstColumn="0" w:firstRowLastColumn="0" w:lastRowFirstColumn="0" w:lastRowLastColumn="0"/>
            <w:tcW w:w="1650" w:type="pct"/>
            <w:shd w:val="clear" w:color="auto" w:fill="auto"/>
          </w:tcPr>
          <w:p w:rsidR="00B616DD" w:rsidRPr="00585DB1" w:rsidRDefault="00B616DD" w:rsidP="00B616DD">
            <w:pPr>
              <w:spacing w:after="0" w:line="240" w:lineRule="auto"/>
              <w:rPr>
                <w:rFonts w:ascii="Palatino Linotype" w:hAnsi="Palatino Linotype"/>
                <w:b w:val="0"/>
                <w:sz w:val="20"/>
                <w:szCs w:val="20"/>
              </w:rPr>
            </w:pPr>
            <w:r w:rsidRPr="00585DB1">
              <w:rPr>
                <w:rFonts w:ascii="Palatino Linotype" w:hAnsi="Palatino Linotype"/>
                <w:b w:val="0"/>
                <w:sz w:val="20"/>
                <w:szCs w:val="20"/>
              </w:rPr>
              <w:t xml:space="preserve">Ratio de couverture des charges ou taux de réserve </w:t>
            </w:r>
          </w:p>
        </w:tc>
        <w:tc>
          <w:tcPr>
            <w:tcW w:w="617"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2,1047480</w:t>
            </w:r>
          </w:p>
        </w:tc>
        <w:tc>
          <w:tcPr>
            <w:tcW w:w="696"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1,20375765</w:t>
            </w:r>
          </w:p>
        </w:tc>
        <w:tc>
          <w:tcPr>
            <w:tcW w:w="603"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3,9689800</w:t>
            </w:r>
          </w:p>
        </w:tc>
        <w:tc>
          <w:tcPr>
            <w:tcW w:w="679"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5,9534700</w:t>
            </w:r>
          </w:p>
        </w:tc>
        <w:tc>
          <w:tcPr>
            <w:tcW w:w="755"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50% à 75 %</w:t>
            </w:r>
          </w:p>
        </w:tc>
      </w:tr>
      <w:tr w:rsidR="00B616DD" w:rsidRPr="00585DB1" w:rsidTr="00585DB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650" w:type="pct"/>
            <w:shd w:val="clear" w:color="auto" w:fill="auto"/>
          </w:tcPr>
          <w:p w:rsidR="00B616DD" w:rsidRPr="00585DB1" w:rsidRDefault="00B616DD" w:rsidP="00B616DD">
            <w:pPr>
              <w:spacing w:after="0" w:line="240" w:lineRule="auto"/>
              <w:rPr>
                <w:rFonts w:ascii="Palatino Linotype" w:hAnsi="Palatino Linotype"/>
                <w:b w:val="0"/>
                <w:sz w:val="20"/>
                <w:szCs w:val="20"/>
              </w:rPr>
            </w:pPr>
            <w:r w:rsidRPr="00585DB1">
              <w:rPr>
                <w:rFonts w:ascii="Palatino Linotype" w:hAnsi="Palatino Linotype"/>
                <w:b w:val="0"/>
                <w:sz w:val="20"/>
                <w:szCs w:val="20"/>
              </w:rPr>
              <w:t>Ratio des cotisations acquises/charges totales</w:t>
            </w:r>
          </w:p>
        </w:tc>
        <w:tc>
          <w:tcPr>
            <w:tcW w:w="617"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1,0042113</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696"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1,04243228</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603"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0,4335484</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679"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0,08736058</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755"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&gt; 1</w:t>
            </w:r>
          </w:p>
        </w:tc>
      </w:tr>
      <w:tr w:rsidR="00B616DD" w:rsidRPr="00585DB1" w:rsidTr="00585DB1">
        <w:tc>
          <w:tcPr>
            <w:cnfStyle w:val="001000000000" w:firstRow="0" w:lastRow="0" w:firstColumn="1" w:lastColumn="0" w:oddVBand="0" w:evenVBand="0" w:oddHBand="0" w:evenHBand="0" w:firstRowFirstColumn="0" w:firstRowLastColumn="0" w:lastRowFirstColumn="0" w:lastRowLastColumn="0"/>
            <w:tcW w:w="1650" w:type="pct"/>
            <w:shd w:val="clear" w:color="auto" w:fill="auto"/>
          </w:tcPr>
          <w:p w:rsidR="00B616DD" w:rsidRPr="00585DB1" w:rsidRDefault="00B616DD" w:rsidP="00B616DD">
            <w:pPr>
              <w:spacing w:after="0" w:line="240" w:lineRule="auto"/>
              <w:rPr>
                <w:rFonts w:ascii="Palatino Linotype" w:hAnsi="Palatino Linotype"/>
                <w:b w:val="0"/>
                <w:sz w:val="20"/>
                <w:szCs w:val="20"/>
              </w:rPr>
            </w:pPr>
            <w:r w:rsidRPr="00585DB1">
              <w:rPr>
                <w:rFonts w:ascii="Palatino Linotype" w:hAnsi="Palatino Linotype"/>
                <w:b w:val="0"/>
                <w:sz w:val="20"/>
                <w:szCs w:val="20"/>
              </w:rPr>
              <w:t xml:space="preserve">Ratio de sinistralité= (Prestations totales)/(Cotisations acquises) </w:t>
            </w:r>
          </w:p>
        </w:tc>
        <w:tc>
          <w:tcPr>
            <w:tcW w:w="617"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79,092259</w:t>
            </w:r>
          </w:p>
        </w:tc>
        <w:tc>
          <w:tcPr>
            <w:tcW w:w="696"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79,5647270</w:t>
            </w:r>
          </w:p>
        </w:tc>
        <w:tc>
          <w:tcPr>
            <w:tcW w:w="603"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71,476080</w:t>
            </w:r>
          </w:p>
        </w:tc>
        <w:tc>
          <w:tcPr>
            <w:tcW w:w="679"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71,42</w:t>
            </w:r>
          </w:p>
        </w:tc>
        <w:tc>
          <w:tcPr>
            <w:tcW w:w="755" w:type="pct"/>
            <w:shd w:val="clear" w:color="auto" w:fill="auto"/>
          </w:tcPr>
          <w:p w:rsidR="00B616DD" w:rsidRPr="00585DB1" w:rsidRDefault="00B616DD" w:rsidP="00B616D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75%</w:t>
            </w:r>
          </w:p>
        </w:tc>
      </w:tr>
      <w:tr w:rsidR="00B616DD" w:rsidRPr="00585DB1" w:rsidTr="00585DB1">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650" w:type="pct"/>
            <w:shd w:val="clear" w:color="auto" w:fill="auto"/>
          </w:tcPr>
          <w:p w:rsidR="00B616DD" w:rsidRPr="00585DB1" w:rsidRDefault="00B616DD" w:rsidP="00B616DD">
            <w:pPr>
              <w:spacing w:after="0" w:line="240" w:lineRule="auto"/>
              <w:rPr>
                <w:rFonts w:ascii="Palatino Linotype" w:hAnsi="Palatino Linotype"/>
                <w:b w:val="0"/>
                <w:sz w:val="20"/>
                <w:szCs w:val="20"/>
              </w:rPr>
            </w:pPr>
            <w:r w:rsidRPr="00585DB1">
              <w:rPr>
                <w:rFonts w:ascii="Palatino Linotype" w:hAnsi="Palatino Linotype"/>
                <w:b w:val="0"/>
                <w:sz w:val="20"/>
                <w:szCs w:val="20"/>
              </w:rPr>
              <w:t>Ratio des frais de fonctionnement brut</w:t>
            </w:r>
          </w:p>
        </w:tc>
        <w:tc>
          <w:tcPr>
            <w:tcW w:w="617"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17,379469</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696"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20,3394818</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603"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159,17864</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679"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16,1904761</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755" w:type="pct"/>
            <w:shd w:val="clear" w:color="auto" w:fill="auto"/>
          </w:tcPr>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85DB1">
              <w:rPr>
                <w:rFonts w:ascii="Palatino Linotype" w:hAnsi="Palatino Linotype"/>
                <w:sz w:val="20"/>
                <w:szCs w:val="20"/>
              </w:rPr>
              <w:t>&lt;15 %</w:t>
            </w:r>
          </w:p>
          <w:p w:rsidR="00B616DD" w:rsidRPr="00585DB1" w:rsidRDefault="00B616DD" w:rsidP="00B616D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bl>
    <w:p w:rsidR="00CB2215" w:rsidRPr="002F6F24" w:rsidRDefault="00CB2215" w:rsidP="00B616DD">
      <w:pPr>
        <w:spacing w:after="0" w:line="240" w:lineRule="auto"/>
        <w:jc w:val="both"/>
        <w:rPr>
          <w:rFonts w:ascii="Palatino Linotype" w:hAnsi="Palatino Linotype" w:cs="Times New Roman"/>
          <w:sz w:val="20"/>
          <w:szCs w:val="20"/>
          <w:lang w:val="en-US"/>
        </w:rPr>
      </w:pPr>
    </w:p>
    <w:sectPr w:rsidR="00CB2215" w:rsidRPr="002F6F24" w:rsidSect="00186AC2">
      <w:type w:val="continuous"/>
      <w:pgSz w:w="11906" w:h="16838"/>
      <w:pgMar w:top="1417" w:right="707" w:bottom="1276" w:left="567" w:header="708" w:footer="708" w:gutter="0"/>
      <w:cols w:space="42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BC0" w:rsidRDefault="00D56BC0" w:rsidP="003132FB">
      <w:pPr>
        <w:spacing w:after="0" w:line="240" w:lineRule="auto"/>
      </w:pPr>
      <w:r>
        <w:separator/>
      </w:r>
    </w:p>
  </w:endnote>
  <w:endnote w:type="continuationSeparator" w:id="0">
    <w:p w:rsidR="00D56BC0" w:rsidRDefault="00D56BC0" w:rsidP="0031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A2" w:rsidRDefault="009D5CA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BD" w:rsidRDefault="003D74BD" w:rsidP="00575D5B">
    <w:pPr>
      <w:pStyle w:val="Pieddepage"/>
      <w:pBdr>
        <w:top w:val="sing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BD" w:rsidRDefault="003D74BD" w:rsidP="00871BC3">
    <w:pPr>
      <w:pStyle w:val="Pieddepage"/>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BC0" w:rsidRDefault="00D56BC0" w:rsidP="003132FB">
      <w:pPr>
        <w:spacing w:after="0" w:line="240" w:lineRule="auto"/>
      </w:pPr>
      <w:r>
        <w:separator/>
      </w:r>
    </w:p>
  </w:footnote>
  <w:footnote w:type="continuationSeparator" w:id="0">
    <w:p w:rsidR="00D56BC0" w:rsidRDefault="00D56BC0" w:rsidP="0031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A2" w:rsidRDefault="009D5CA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b/>
        <w:i/>
        <w:sz w:val="16"/>
      </w:rPr>
      <w:id w:val="1912421944"/>
      <w:docPartObj>
        <w:docPartGallery w:val="Page Numbers (Top of Page)"/>
        <w:docPartUnique/>
      </w:docPartObj>
    </w:sdtPr>
    <w:sdtEndPr/>
    <w:sdtContent>
      <w:p w:rsidR="003D74BD" w:rsidRPr="00B171FB" w:rsidRDefault="003D74BD" w:rsidP="00D14C1A">
        <w:pPr>
          <w:pBdr>
            <w:bottom w:val="single" w:sz="8" w:space="1" w:color="auto"/>
          </w:pBdr>
          <w:rPr>
            <w:rFonts w:cs="Times New Roman"/>
            <w:b/>
            <w:i/>
            <w:sz w:val="16"/>
          </w:rPr>
        </w:pPr>
        <w:r>
          <w:rPr>
            <w:rFonts w:cs="Times New Roman"/>
            <w:b/>
            <w:i/>
            <w:sz w:val="16"/>
          </w:rPr>
          <w:t xml:space="preserve">Justin </w:t>
        </w:r>
        <w:proofErr w:type="spellStart"/>
        <w:r>
          <w:rPr>
            <w:rFonts w:cs="Times New Roman"/>
            <w:b/>
            <w:i/>
            <w:sz w:val="16"/>
          </w:rPr>
          <w:t>Murhabazi</w:t>
        </w:r>
        <w:proofErr w:type="spellEnd"/>
        <w:r>
          <w:rPr>
            <w:rFonts w:cs="Times New Roman"/>
            <w:b/>
            <w:i/>
            <w:sz w:val="16"/>
          </w:rPr>
          <w:t xml:space="preserve"> </w:t>
        </w:r>
        <w:proofErr w:type="spellStart"/>
        <w:r>
          <w:rPr>
            <w:rFonts w:cs="Times New Roman"/>
            <w:b/>
            <w:i/>
            <w:sz w:val="16"/>
          </w:rPr>
          <w:t>Ntabiruba</w:t>
        </w:r>
        <w:proofErr w:type="spellEnd"/>
        <w:r>
          <w:rPr>
            <w:rFonts w:cs="Times New Roman"/>
            <w:b/>
            <w:i/>
            <w:sz w:val="16"/>
          </w:rPr>
          <w:t xml:space="preserve"> et al.</w:t>
        </w:r>
        <w:r w:rsidRPr="00956349">
          <w:rPr>
            <w:rFonts w:cs="Times New Roman"/>
            <w:b/>
            <w:i/>
            <w:sz w:val="16"/>
          </w:rPr>
          <w:tab/>
        </w:r>
        <w:r>
          <w:rPr>
            <w:rFonts w:cs="Times New Roman"/>
            <w:b/>
            <w:i/>
            <w:sz w:val="16"/>
          </w:rPr>
          <w:tab/>
        </w:r>
        <w:r w:rsidRPr="00B171FB">
          <w:rPr>
            <w:rFonts w:cs="Times New Roman"/>
            <w:b/>
            <w:i/>
            <w:sz w:val="16"/>
          </w:rPr>
          <w:tab/>
        </w:r>
        <w:r>
          <w:rPr>
            <w:rFonts w:cs="Times New Roman"/>
            <w:b/>
            <w:i/>
            <w:sz w:val="16"/>
          </w:rPr>
          <w:tab/>
        </w:r>
        <w:r w:rsidRPr="00B171FB">
          <w:rPr>
            <w:rFonts w:cs="Times New Roman"/>
            <w:b/>
            <w:i/>
            <w:sz w:val="16"/>
          </w:rPr>
          <w:fldChar w:fldCharType="begin"/>
        </w:r>
        <w:r w:rsidRPr="00B171FB">
          <w:rPr>
            <w:rFonts w:cs="Times New Roman"/>
            <w:b/>
            <w:i/>
            <w:sz w:val="16"/>
          </w:rPr>
          <w:instrText xml:space="preserve"> PAGE   \* MERGEFORMAT </w:instrText>
        </w:r>
        <w:r w:rsidRPr="00B171FB">
          <w:rPr>
            <w:rFonts w:cs="Times New Roman"/>
            <w:b/>
            <w:i/>
            <w:sz w:val="16"/>
          </w:rPr>
          <w:fldChar w:fldCharType="separate"/>
        </w:r>
        <w:r w:rsidR="00282040">
          <w:rPr>
            <w:rFonts w:cs="Times New Roman"/>
            <w:b/>
            <w:i/>
            <w:noProof/>
            <w:sz w:val="16"/>
          </w:rPr>
          <w:t>8</w:t>
        </w:r>
        <w:r w:rsidRPr="00B171FB">
          <w:rPr>
            <w:rFonts w:cs="Times New Roman"/>
            <w:b/>
            <w:i/>
            <w:sz w:val="16"/>
          </w:rPr>
          <w:fldChar w:fldCharType="end"/>
        </w:r>
        <w:r w:rsidRPr="00B171FB">
          <w:rPr>
            <w:rFonts w:cs="Times New Roman"/>
            <w:b/>
            <w:i/>
            <w:sz w:val="16"/>
          </w:rPr>
          <w:t xml:space="preserve"> de </w:t>
        </w:r>
        <w:r w:rsidRPr="00B171FB">
          <w:rPr>
            <w:rFonts w:cs="Times New Roman"/>
            <w:b/>
            <w:i/>
            <w:sz w:val="16"/>
          </w:rPr>
          <w:fldChar w:fldCharType="begin"/>
        </w:r>
        <w:r w:rsidRPr="00B171FB">
          <w:rPr>
            <w:rFonts w:cs="Times New Roman"/>
            <w:b/>
            <w:i/>
            <w:sz w:val="16"/>
          </w:rPr>
          <w:instrText xml:space="preserve"> NUMPAGES   \* MERGEFORMAT </w:instrText>
        </w:r>
        <w:r w:rsidRPr="00B171FB">
          <w:rPr>
            <w:rFonts w:cs="Times New Roman"/>
            <w:b/>
            <w:i/>
            <w:sz w:val="16"/>
          </w:rPr>
          <w:fldChar w:fldCharType="separate"/>
        </w:r>
        <w:r w:rsidR="00282040">
          <w:rPr>
            <w:rFonts w:cs="Times New Roman"/>
            <w:b/>
            <w:i/>
            <w:noProof/>
            <w:sz w:val="16"/>
          </w:rPr>
          <w:t>10</w:t>
        </w:r>
        <w:r w:rsidRPr="00B171FB">
          <w:rPr>
            <w:rFonts w:cs="Times New Roman"/>
            <w:b/>
            <w:i/>
            <w:sz w:val="16"/>
          </w:rPr>
          <w:fldChar w:fldCharType="end"/>
        </w:r>
        <w:r w:rsidRPr="00B171FB">
          <w:rPr>
            <w:rFonts w:cs="Times New Roman"/>
            <w:b/>
            <w:i/>
            <w:sz w:val="16"/>
          </w:rPr>
          <w:tab/>
        </w:r>
        <w:r w:rsidRPr="00B171FB">
          <w:rPr>
            <w:rFonts w:cs="Times New Roman"/>
            <w:b/>
            <w:i/>
            <w:sz w:val="16"/>
          </w:rPr>
          <w:tab/>
        </w:r>
        <w:r w:rsidRPr="00B171FB">
          <w:rPr>
            <w:rFonts w:cs="Times New Roman"/>
            <w:b/>
            <w:i/>
            <w:sz w:val="16"/>
          </w:rPr>
          <w:tab/>
        </w:r>
        <w:r w:rsidRPr="00B171FB">
          <w:rPr>
            <w:rFonts w:cs="Times New Roman"/>
            <w:b/>
            <w:i/>
            <w:sz w:val="16"/>
          </w:rPr>
          <w:tab/>
        </w:r>
        <w:r>
          <w:rPr>
            <w:rFonts w:cs="Times New Roman"/>
            <w:b/>
            <w:i/>
            <w:sz w:val="16"/>
          </w:rPr>
          <w:t xml:space="preserve">Kivu </w:t>
        </w:r>
        <w:proofErr w:type="spellStart"/>
        <w:r>
          <w:rPr>
            <w:rFonts w:cs="Times New Roman"/>
            <w:b/>
            <w:i/>
            <w:sz w:val="16"/>
          </w:rPr>
          <w:t>M</w:t>
        </w:r>
        <w:r w:rsidR="00F75BD6">
          <w:rPr>
            <w:rFonts w:cs="Times New Roman"/>
            <w:b/>
            <w:i/>
            <w:sz w:val="16"/>
          </w:rPr>
          <w:t>edical</w:t>
        </w:r>
        <w:proofErr w:type="spellEnd"/>
        <w:r w:rsidR="00F75BD6">
          <w:rPr>
            <w:rFonts w:cs="Times New Roman"/>
            <w:b/>
            <w:i/>
            <w:sz w:val="16"/>
          </w:rPr>
          <w:t xml:space="preserve"> Journal, 2025, 3(3); 1-1</w:t>
        </w:r>
        <w:r w:rsidR="009D5CA2">
          <w:rPr>
            <w:rFonts w:cs="Times New Roman"/>
            <w:b/>
            <w:i/>
            <w:sz w:val="16"/>
          </w:rPr>
          <w:t>0</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A2" w:rsidRDefault="009D5CA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87D64"/>
    <w:multiLevelType w:val="multilevel"/>
    <w:tmpl w:val="93FC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E858E6"/>
    <w:multiLevelType w:val="hybridMultilevel"/>
    <w:tmpl w:val="64F475E8"/>
    <w:lvl w:ilvl="0" w:tplc="4BFC5544">
      <w:start w:val="1"/>
      <w:numFmt w:val="decimal"/>
      <w:pStyle w:val="Tableau"/>
      <w:lvlText w:val="Tableau %1."/>
      <w:lvlJc w:val="left"/>
      <w:pPr>
        <w:ind w:left="4472" w:hanging="360"/>
      </w:pPr>
      <w:rPr>
        <w:rFonts w:ascii="Times New Roman" w:hAnsi="Times New Roman" w:hint="default"/>
        <w:b/>
        <w:i w:val="0"/>
        <w:sz w:val="24"/>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2" w15:restartNumberingAfterBreak="0">
    <w:nsid w:val="74467558"/>
    <w:multiLevelType w:val="multilevel"/>
    <w:tmpl w:val="2136757E"/>
    <w:lvl w:ilvl="0">
      <w:start w:val="1"/>
      <w:numFmt w:val="decimal"/>
      <w:lvlText w:val="%1"/>
      <w:lvlJc w:val="left"/>
      <w:pPr>
        <w:ind w:left="2248" w:hanging="360"/>
      </w:pPr>
      <w:rPr>
        <w:rFonts w:hint="default"/>
        <w:b w:val="0"/>
      </w:rPr>
    </w:lvl>
    <w:lvl w:ilvl="1">
      <w:start w:val="3"/>
      <w:numFmt w:val="decimal"/>
      <w:isLgl/>
      <w:lvlText w:val="%1.%2."/>
      <w:lvlJc w:val="left"/>
      <w:pPr>
        <w:ind w:left="2308" w:hanging="420"/>
      </w:pPr>
      <w:rPr>
        <w:rFonts w:hint="default"/>
        <w:b/>
      </w:rPr>
    </w:lvl>
    <w:lvl w:ilvl="2">
      <w:start w:val="1"/>
      <w:numFmt w:val="decimal"/>
      <w:isLgl/>
      <w:lvlText w:val="%1.%2.%3."/>
      <w:lvlJc w:val="left"/>
      <w:pPr>
        <w:ind w:left="2608" w:hanging="720"/>
      </w:pPr>
      <w:rPr>
        <w:rFonts w:hint="default"/>
        <w:b/>
      </w:rPr>
    </w:lvl>
    <w:lvl w:ilvl="3">
      <w:start w:val="1"/>
      <w:numFmt w:val="decimal"/>
      <w:isLgl/>
      <w:lvlText w:val="%1.%2.%3.%4."/>
      <w:lvlJc w:val="left"/>
      <w:pPr>
        <w:ind w:left="2608" w:hanging="720"/>
      </w:pPr>
      <w:rPr>
        <w:rFonts w:hint="default"/>
        <w:b/>
      </w:rPr>
    </w:lvl>
    <w:lvl w:ilvl="4">
      <w:start w:val="1"/>
      <w:numFmt w:val="decimal"/>
      <w:isLgl/>
      <w:lvlText w:val="%1.%2.%3.%4.%5."/>
      <w:lvlJc w:val="left"/>
      <w:pPr>
        <w:ind w:left="2968" w:hanging="1080"/>
      </w:pPr>
      <w:rPr>
        <w:rFonts w:hint="default"/>
        <w:b/>
      </w:rPr>
    </w:lvl>
    <w:lvl w:ilvl="5">
      <w:start w:val="1"/>
      <w:numFmt w:val="decimal"/>
      <w:isLgl/>
      <w:lvlText w:val="%1.%2.%3.%4.%5.%6."/>
      <w:lvlJc w:val="left"/>
      <w:pPr>
        <w:ind w:left="2968" w:hanging="1080"/>
      </w:pPr>
      <w:rPr>
        <w:rFonts w:hint="default"/>
        <w:b/>
      </w:rPr>
    </w:lvl>
    <w:lvl w:ilvl="6">
      <w:start w:val="1"/>
      <w:numFmt w:val="decimal"/>
      <w:isLgl/>
      <w:lvlText w:val="%1.%2.%3.%4.%5.%6.%7."/>
      <w:lvlJc w:val="left"/>
      <w:pPr>
        <w:ind w:left="3328" w:hanging="1440"/>
      </w:pPr>
      <w:rPr>
        <w:rFonts w:hint="default"/>
        <w:b/>
      </w:rPr>
    </w:lvl>
    <w:lvl w:ilvl="7">
      <w:start w:val="1"/>
      <w:numFmt w:val="decimal"/>
      <w:isLgl/>
      <w:lvlText w:val="%1.%2.%3.%4.%5.%6.%7.%8."/>
      <w:lvlJc w:val="left"/>
      <w:pPr>
        <w:ind w:left="3328" w:hanging="1440"/>
      </w:pPr>
      <w:rPr>
        <w:rFonts w:hint="default"/>
        <w:b/>
      </w:rPr>
    </w:lvl>
    <w:lvl w:ilvl="8">
      <w:start w:val="1"/>
      <w:numFmt w:val="decimal"/>
      <w:isLgl/>
      <w:lvlText w:val="%1.%2.%3.%4.%5.%6.%7.%8.%9."/>
      <w:lvlJc w:val="left"/>
      <w:pPr>
        <w:ind w:left="3688" w:hanging="1800"/>
      </w:pPr>
      <w:rPr>
        <w:rFonts w:hint="default"/>
        <w:b/>
      </w:rPr>
    </w:lvl>
  </w:abstractNum>
  <w:abstractNum w:abstractNumId="3" w15:restartNumberingAfterBreak="0">
    <w:nsid w:val="7A490944"/>
    <w:multiLevelType w:val="hybridMultilevel"/>
    <w:tmpl w:val="59161A8C"/>
    <w:lvl w:ilvl="0" w:tplc="2E0CFB94">
      <w:start w:val="1"/>
      <w:numFmt w:val="upperRoman"/>
      <w:pStyle w:val="Table"/>
      <w:lvlText w:val="Tableau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55"/>
    <w:rsid w:val="00013102"/>
    <w:rsid w:val="000131CB"/>
    <w:rsid w:val="00020BF7"/>
    <w:rsid w:val="00020EEF"/>
    <w:rsid w:val="00032F22"/>
    <w:rsid w:val="000418D2"/>
    <w:rsid w:val="000517A6"/>
    <w:rsid w:val="00054B56"/>
    <w:rsid w:val="00055BC7"/>
    <w:rsid w:val="00057248"/>
    <w:rsid w:val="0006063B"/>
    <w:rsid w:val="0007344D"/>
    <w:rsid w:val="0008298D"/>
    <w:rsid w:val="000874B4"/>
    <w:rsid w:val="000958AF"/>
    <w:rsid w:val="00096C72"/>
    <w:rsid w:val="000A437D"/>
    <w:rsid w:val="000B07D7"/>
    <w:rsid w:val="000B6CE4"/>
    <w:rsid w:val="000C2A53"/>
    <w:rsid w:val="000C7649"/>
    <w:rsid w:val="000D2587"/>
    <w:rsid w:val="000D4D2C"/>
    <w:rsid w:val="00107836"/>
    <w:rsid w:val="001108D8"/>
    <w:rsid w:val="00113B4B"/>
    <w:rsid w:val="00114030"/>
    <w:rsid w:val="00114060"/>
    <w:rsid w:val="00117C07"/>
    <w:rsid w:val="00117D72"/>
    <w:rsid w:val="00121CDD"/>
    <w:rsid w:val="0012408C"/>
    <w:rsid w:val="001428EE"/>
    <w:rsid w:val="00145F93"/>
    <w:rsid w:val="00152291"/>
    <w:rsid w:val="00162A8A"/>
    <w:rsid w:val="00167FAD"/>
    <w:rsid w:val="00173F50"/>
    <w:rsid w:val="00175F47"/>
    <w:rsid w:val="00186AC2"/>
    <w:rsid w:val="001A6C1A"/>
    <w:rsid w:val="001B2FF4"/>
    <w:rsid w:val="001C199D"/>
    <w:rsid w:val="001C7E8F"/>
    <w:rsid w:val="001D257A"/>
    <w:rsid w:val="001D4C9F"/>
    <w:rsid w:val="001E682C"/>
    <w:rsid w:val="001F0354"/>
    <w:rsid w:val="002055C6"/>
    <w:rsid w:val="0021722C"/>
    <w:rsid w:val="00217AE2"/>
    <w:rsid w:val="00217B96"/>
    <w:rsid w:val="00233CEB"/>
    <w:rsid w:val="00257F93"/>
    <w:rsid w:val="00267BAF"/>
    <w:rsid w:val="00272C4C"/>
    <w:rsid w:val="00282040"/>
    <w:rsid w:val="00286DFA"/>
    <w:rsid w:val="00287FDA"/>
    <w:rsid w:val="002A4C54"/>
    <w:rsid w:val="002A6EAA"/>
    <w:rsid w:val="002A75F5"/>
    <w:rsid w:val="002B6331"/>
    <w:rsid w:val="002D100D"/>
    <w:rsid w:val="002D2FA7"/>
    <w:rsid w:val="002E0C56"/>
    <w:rsid w:val="002F5799"/>
    <w:rsid w:val="002F6F24"/>
    <w:rsid w:val="003132FB"/>
    <w:rsid w:val="00313A09"/>
    <w:rsid w:val="00313D80"/>
    <w:rsid w:val="003143DA"/>
    <w:rsid w:val="00327441"/>
    <w:rsid w:val="0033049F"/>
    <w:rsid w:val="003347BB"/>
    <w:rsid w:val="0033617A"/>
    <w:rsid w:val="00342077"/>
    <w:rsid w:val="0035146A"/>
    <w:rsid w:val="003525F3"/>
    <w:rsid w:val="003546C9"/>
    <w:rsid w:val="0036583E"/>
    <w:rsid w:val="00365A96"/>
    <w:rsid w:val="00366C82"/>
    <w:rsid w:val="003720C9"/>
    <w:rsid w:val="0038110A"/>
    <w:rsid w:val="003858CA"/>
    <w:rsid w:val="0039145C"/>
    <w:rsid w:val="00396BF5"/>
    <w:rsid w:val="003B4688"/>
    <w:rsid w:val="003D5705"/>
    <w:rsid w:val="003D74BD"/>
    <w:rsid w:val="003E0165"/>
    <w:rsid w:val="003F0314"/>
    <w:rsid w:val="003F1B64"/>
    <w:rsid w:val="003F3008"/>
    <w:rsid w:val="0041646D"/>
    <w:rsid w:val="00424FC0"/>
    <w:rsid w:val="00431159"/>
    <w:rsid w:val="00432C9E"/>
    <w:rsid w:val="00435D84"/>
    <w:rsid w:val="00440848"/>
    <w:rsid w:val="004471B0"/>
    <w:rsid w:val="00450CF1"/>
    <w:rsid w:val="004554A2"/>
    <w:rsid w:val="0046204E"/>
    <w:rsid w:val="00473695"/>
    <w:rsid w:val="00482B50"/>
    <w:rsid w:val="004842F7"/>
    <w:rsid w:val="00495958"/>
    <w:rsid w:val="004A473D"/>
    <w:rsid w:val="004A5E7D"/>
    <w:rsid w:val="004C0DDD"/>
    <w:rsid w:val="004C4C25"/>
    <w:rsid w:val="004C6129"/>
    <w:rsid w:val="004D6F87"/>
    <w:rsid w:val="004E0058"/>
    <w:rsid w:val="004E0972"/>
    <w:rsid w:val="004E182B"/>
    <w:rsid w:val="005047A9"/>
    <w:rsid w:val="005320ED"/>
    <w:rsid w:val="00533FDF"/>
    <w:rsid w:val="0053444C"/>
    <w:rsid w:val="00536684"/>
    <w:rsid w:val="00537FA3"/>
    <w:rsid w:val="00573423"/>
    <w:rsid w:val="00575D5B"/>
    <w:rsid w:val="00585DB1"/>
    <w:rsid w:val="00587532"/>
    <w:rsid w:val="00593CEB"/>
    <w:rsid w:val="00597BD7"/>
    <w:rsid w:val="005A4E25"/>
    <w:rsid w:val="005A5776"/>
    <w:rsid w:val="005B3344"/>
    <w:rsid w:val="005C400A"/>
    <w:rsid w:val="005C4282"/>
    <w:rsid w:val="005D21CB"/>
    <w:rsid w:val="005D7164"/>
    <w:rsid w:val="005E4787"/>
    <w:rsid w:val="005E5147"/>
    <w:rsid w:val="005F1953"/>
    <w:rsid w:val="005F5CDA"/>
    <w:rsid w:val="00600DC7"/>
    <w:rsid w:val="0062104E"/>
    <w:rsid w:val="00624426"/>
    <w:rsid w:val="006270EB"/>
    <w:rsid w:val="006332CB"/>
    <w:rsid w:val="00642B1C"/>
    <w:rsid w:val="00643049"/>
    <w:rsid w:val="00655EA4"/>
    <w:rsid w:val="0065705F"/>
    <w:rsid w:val="00664ED6"/>
    <w:rsid w:val="006858D6"/>
    <w:rsid w:val="006A1DB3"/>
    <w:rsid w:val="006A5CB3"/>
    <w:rsid w:val="006A76F7"/>
    <w:rsid w:val="006B3DC8"/>
    <w:rsid w:val="006C5215"/>
    <w:rsid w:val="006C5B72"/>
    <w:rsid w:val="006D7901"/>
    <w:rsid w:val="006E352C"/>
    <w:rsid w:val="006E489B"/>
    <w:rsid w:val="006E6049"/>
    <w:rsid w:val="00700773"/>
    <w:rsid w:val="0070437E"/>
    <w:rsid w:val="0071573C"/>
    <w:rsid w:val="00725CC7"/>
    <w:rsid w:val="00730F3E"/>
    <w:rsid w:val="00732A3B"/>
    <w:rsid w:val="0073724A"/>
    <w:rsid w:val="00742136"/>
    <w:rsid w:val="00743589"/>
    <w:rsid w:val="00745078"/>
    <w:rsid w:val="00745BB2"/>
    <w:rsid w:val="00746198"/>
    <w:rsid w:val="007526EA"/>
    <w:rsid w:val="00756B4B"/>
    <w:rsid w:val="00756F81"/>
    <w:rsid w:val="007666AD"/>
    <w:rsid w:val="00770999"/>
    <w:rsid w:val="00787D49"/>
    <w:rsid w:val="007B2A68"/>
    <w:rsid w:val="007B51A1"/>
    <w:rsid w:val="007C475F"/>
    <w:rsid w:val="007D371C"/>
    <w:rsid w:val="007D76E3"/>
    <w:rsid w:val="007E20DB"/>
    <w:rsid w:val="00804B40"/>
    <w:rsid w:val="0081034C"/>
    <w:rsid w:val="008156DA"/>
    <w:rsid w:val="00827C41"/>
    <w:rsid w:val="00830E91"/>
    <w:rsid w:val="008407C5"/>
    <w:rsid w:val="008425DF"/>
    <w:rsid w:val="008428FF"/>
    <w:rsid w:val="00846A8F"/>
    <w:rsid w:val="00857EDF"/>
    <w:rsid w:val="008603B6"/>
    <w:rsid w:val="00863B38"/>
    <w:rsid w:val="00871598"/>
    <w:rsid w:val="00871BC3"/>
    <w:rsid w:val="00883920"/>
    <w:rsid w:val="008914CB"/>
    <w:rsid w:val="008A5BE9"/>
    <w:rsid w:val="008C2772"/>
    <w:rsid w:val="008D190D"/>
    <w:rsid w:val="008D521F"/>
    <w:rsid w:val="008E0CDE"/>
    <w:rsid w:val="008E42D3"/>
    <w:rsid w:val="008F1E09"/>
    <w:rsid w:val="008F3508"/>
    <w:rsid w:val="008F683A"/>
    <w:rsid w:val="009011E4"/>
    <w:rsid w:val="00905A26"/>
    <w:rsid w:val="00917606"/>
    <w:rsid w:val="00934E82"/>
    <w:rsid w:val="00950BEA"/>
    <w:rsid w:val="00954460"/>
    <w:rsid w:val="0095622B"/>
    <w:rsid w:val="0096713A"/>
    <w:rsid w:val="00967DBD"/>
    <w:rsid w:val="00974973"/>
    <w:rsid w:val="00990A70"/>
    <w:rsid w:val="009953C8"/>
    <w:rsid w:val="0099555A"/>
    <w:rsid w:val="009A0055"/>
    <w:rsid w:val="009A1FA2"/>
    <w:rsid w:val="009C0321"/>
    <w:rsid w:val="009C43C6"/>
    <w:rsid w:val="009D5CA2"/>
    <w:rsid w:val="009E0B17"/>
    <w:rsid w:val="009E3D55"/>
    <w:rsid w:val="009E5DBD"/>
    <w:rsid w:val="009F170B"/>
    <w:rsid w:val="00A11307"/>
    <w:rsid w:val="00A23D20"/>
    <w:rsid w:val="00A33B4C"/>
    <w:rsid w:val="00A429E1"/>
    <w:rsid w:val="00A52FED"/>
    <w:rsid w:val="00A53915"/>
    <w:rsid w:val="00A55DE0"/>
    <w:rsid w:val="00A616BD"/>
    <w:rsid w:val="00A76011"/>
    <w:rsid w:val="00A82282"/>
    <w:rsid w:val="00A94BA9"/>
    <w:rsid w:val="00A95BC7"/>
    <w:rsid w:val="00A96826"/>
    <w:rsid w:val="00A96DCA"/>
    <w:rsid w:val="00AA3D0E"/>
    <w:rsid w:val="00AB3411"/>
    <w:rsid w:val="00AB7018"/>
    <w:rsid w:val="00AC1AF0"/>
    <w:rsid w:val="00AD1801"/>
    <w:rsid w:val="00AD68CA"/>
    <w:rsid w:val="00AD73B0"/>
    <w:rsid w:val="00AE3442"/>
    <w:rsid w:val="00AF7343"/>
    <w:rsid w:val="00B06A2F"/>
    <w:rsid w:val="00B108D9"/>
    <w:rsid w:val="00B13AD0"/>
    <w:rsid w:val="00B171FB"/>
    <w:rsid w:val="00B41455"/>
    <w:rsid w:val="00B41CA4"/>
    <w:rsid w:val="00B447AD"/>
    <w:rsid w:val="00B511D5"/>
    <w:rsid w:val="00B616DD"/>
    <w:rsid w:val="00B728C3"/>
    <w:rsid w:val="00B73258"/>
    <w:rsid w:val="00B75D85"/>
    <w:rsid w:val="00B801FD"/>
    <w:rsid w:val="00B93D07"/>
    <w:rsid w:val="00BA6256"/>
    <w:rsid w:val="00BC3114"/>
    <w:rsid w:val="00BD43C2"/>
    <w:rsid w:val="00BD6768"/>
    <w:rsid w:val="00BE240C"/>
    <w:rsid w:val="00BE2E73"/>
    <w:rsid w:val="00BE6A68"/>
    <w:rsid w:val="00C0262E"/>
    <w:rsid w:val="00C03E16"/>
    <w:rsid w:val="00C05E7B"/>
    <w:rsid w:val="00C06D5E"/>
    <w:rsid w:val="00C1240E"/>
    <w:rsid w:val="00C15244"/>
    <w:rsid w:val="00C24379"/>
    <w:rsid w:val="00C37303"/>
    <w:rsid w:val="00C4341D"/>
    <w:rsid w:val="00C47371"/>
    <w:rsid w:val="00C61108"/>
    <w:rsid w:val="00C72096"/>
    <w:rsid w:val="00C760B9"/>
    <w:rsid w:val="00C8591A"/>
    <w:rsid w:val="00C92841"/>
    <w:rsid w:val="00C93DD0"/>
    <w:rsid w:val="00CA33DC"/>
    <w:rsid w:val="00CA5065"/>
    <w:rsid w:val="00CA56C5"/>
    <w:rsid w:val="00CA5FD2"/>
    <w:rsid w:val="00CB2215"/>
    <w:rsid w:val="00CB36DF"/>
    <w:rsid w:val="00CB7786"/>
    <w:rsid w:val="00CC0D37"/>
    <w:rsid w:val="00CD15A0"/>
    <w:rsid w:val="00CD5266"/>
    <w:rsid w:val="00D10658"/>
    <w:rsid w:val="00D14C1A"/>
    <w:rsid w:val="00D16FBF"/>
    <w:rsid w:val="00D21664"/>
    <w:rsid w:val="00D27110"/>
    <w:rsid w:val="00D3021F"/>
    <w:rsid w:val="00D35DA3"/>
    <w:rsid w:val="00D42AE3"/>
    <w:rsid w:val="00D56BC0"/>
    <w:rsid w:val="00D826A1"/>
    <w:rsid w:val="00D90C68"/>
    <w:rsid w:val="00D93FC5"/>
    <w:rsid w:val="00D94217"/>
    <w:rsid w:val="00DA0028"/>
    <w:rsid w:val="00DB1252"/>
    <w:rsid w:val="00DB50E5"/>
    <w:rsid w:val="00DC2B6F"/>
    <w:rsid w:val="00DE47DC"/>
    <w:rsid w:val="00DF2B53"/>
    <w:rsid w:val="00E001B4"/>
    <w:rsid w:val="00E04753"/>
    <w:rsid w:val="00E24CD9"/>
    <w:rsid w:val="00E27CBD"/>
    <w:rsid w:val="00E400F0"/>
    <w:rsid w:val="00E439A6"/>
    <w:rsid w:val="00E47DB2"/>
    <w:rsid w:val="00E50B7D"/>
    <w:rsid w:val="00E52DBF"/>
    <w:rsid w:val="00E55ABC"/>
    <w:rsid w:val="00E56DBE"/>
    <w:rsid w:val="00E81507"/>
    <w:rsid w:val="00E84F46"/>
    <w:rsid w:val="00E87BCC"/>
    <w:rsid w:val="00EA1D3B"/>
    <w:rsid w:val="00EA38E6"/>
    <w:rsid w:val="00EA6484"/>
    <w:rsid w:val="00EB27EB"/>
    <w:rsid w:val="00EB6023"/>
    <w:rsid w:val="00EC769A"/>
    <w:rsid w:val="00ED68D3"/>
    <w:rsid w:val="00ED70ED"/>
    <w:rsid w:val="00EF3D76"/>
    <w:rsid w:val="00EF4039"/>
    <w:rsid w:val="00F14A85"/>
    <w:rsid w:val="00F27340"/>
    <w:rsid w:val="00F560D0"/>
    <w:rsid w:val="00F60E9C"/>
    <w:rsid w:val="00F6448E"/>
    <w:rsid w:val="00F65AE0"/>
    <w:rsid w:val="00F66C56"/>
    <w:rsid w:val="00F66D21"/>
    <w:rsid w:val="00F72112"/>
    <w:rsid w:val="00F75BD6"/>
    <w:rsid w:val="00F83A1E"/>
    <w:rsid w:val="00F84DF4"/>
    <w:rsid w:val="00F8700D"/>
    <w:rsid w:val="00F934DE"/>
    <w:rsid w:val="00F939D7"/>
    <w:rsid w:val="00F95322"/>
    <w:rsid w:val="00FA1A92"/>
    <w:rsid w:val="00FA5374"/>
    <w:rsid w:val="00FB1E1B"/>
    <w:rsid w:val="00FB5B11"/>
    <w:rsid w:val="00FD1F1B"/>
    <w:rsid w:val="00FD29E9"/>
    <w:rsid w:val="00FD3318"/>
    <w:rsid w:val="00FE2BF0"/>
    <w:rsid w:val="00FE3BF8"/>
    <w:rsid w:val="00FF4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37D97"/>
  <w15:chartTrackingRefBased/>
  <w15:docId w15:val="{D00517C0-1364-43DD-AA1B-DD2036C8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D55"/>
    <w:pPr>
      <w:spacing w:after="200" w:line="276" w:lineRule="auto"/>
    </w:pPr>
    <w:rPr>
      <w:rFonts w:ascii="Times New Roman" w:hAnsi="Times New Roman"/>
      <w:sz w:val="24"/>
    </w:rPr>
  </w:style>
  <w:style w:type="paragraph" w:styleId="Titre1">
    <w:name w:val="heading 1"/>
    <w:basedOn w:val="Normal"/>
    <w:next w:val="Normal"/>
    <w:link w:val="Titre1Car"/>
    <w:uiPriority w:val="9"/>
    <w:qFormat/>
    <w:rsid w:val="0008298D"/>
    <w:pPr>
      <w:keepNext/>
      <w:keepLines/>
      <w:spacing w:before="120" w:after="0" w:line="360" w:lineRule="auto"/>
      <w:ind w:left="360" w:hanging="360"/>
      <w:jc w:val="both"/>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3132F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8298D"/>
    <w:pPr>
      <w:keepNext/>
      <w:keepLines/>
      <w:spacing w:before="320" w:after="120"/>
      <w:ind w:left="720" w:hanging="720"/>
      <w:jc w:val="both"/>
      <w:outlineLvl w:val="2"/>
    </w:pPr>
    <w:rPr>
      <w:rFonts w:eastAsiaTheme="majorEastAsia" w:cs="Times New Roman"/>
      <w:b/>
      <w:bCs/>
      <w:color w:val="000000" w:themeColor="text1"/>
    </w:rPr>
  </w:style>
  <w:style w:type="paragraph" w:styleId="Titre4">
    <w:name w:val="heading 4"/>
    <w:basedOn w:val="Normal"/>
    <w:next w:val="Normal"/>
    <w:link w:val="Titre4Car"/>
    <w:uiPriority w:val="9"/>
    <w:unhideWhenUsed/>
    <w:qFormat/>
    <w:rsid w:val="0008298D"/>
    <w:pPr>
      <w:keepNext/>
      <w:keepLines/>
      <w:spacing w:before="40" w:after="0" w:line="360" w:lineRule="auto"/>
      <w:ind w:left="864" w:hanging="864"/>
      <w:jc w:val="both"/>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8298D"/>
    <w:pPr>
      <w:keepNext/>
      <w:keepLines/>
      <w:spacing w:before="40" w:after="0" w:line="360" w:lineRule="auto"/>
      <w:ind w:left="1008" w:hanging="1008"/>
      <w:jc w:val="both"/>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8298D"/>
    <w:pPr>
      <w:keepNext/>
      <w:keepLines/>
      <w:spacing w:before="40" w:after="0" w:line="360" w:lineRule="auto"/>
      <w:ind w:left="1152" w:hanging="1152"/>
      <w:jc w:val="both"/>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8298D"/>
    <w:pPr>
      <w:keepNext/>
      <w:keepLines/>
      <w:spacing w:before="40" w:after="0" w:line="360" w:lineRule="auto"/>
      <w:ind w:left="1296" w:hanging="1296"/>
      <w:jc w:val="both"/>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8298D"/>
    <w:pPr>
      <w:keepNext/>
      <w:keepLines/>
      <w:spacing w:before="40" w:after="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8298D"/>
    <w:pPr>
      <w:keepNext/>
      <w:keepLines/>
      <w:spacing w:before="40" w:after="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298D"/>
    <w:rPr>
      <w:rFonts w:ascii="Times New Roman" w:eastAsiaTheme="majorEastAsia" w:hAnsi="Times New Roman" w:cstheme="majorBidi"/>
      <w:b/>
      <w:sz w:val="24"/>
      <w:szCs w:val="32"/>
    </w:rPr>
  </w:style>
  <w:style w:type="character" w:customStyle="1" w:styleId="Titre2Car">
    <w:name w:val="Titre 2 Car"/>
    <w:basedOn w:val="Policepardfaut"/>
    <w:link w:val="Titre2"/>
    <w:uiPriority w:val="9"/>
    <w:rsid w:val="003132F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08298D"/>
    <w:rPr>
      <w:rFonts w:ascii="Times New Roman" w:eastAsiaTheme="majorEastAsia" w:hAnsi="Times New Roman" w:cs="Times New Roman"/>
      <w:b/>
      <w:bCs/>
      <w:color w:val="000000" w:themeColor="text1"/>
      <w:sz w:val="24"/>
    </w:rPr>
  </w:style>
  <w:style w:type="character" w:customStyle="1" w:styleId="Titre4Car">
    <w:name w:val="Titre 4 Car"/>
    <w:basedOn w:val="Policepardfaut"/>
    <w:link w:val="Titre4"/>
    <w:uiPriority w:val="9"/>
    <w:rsid w:val="0008298D"/>
    <w:rPr>
      <w:rFonts w:asciiTheme="majorHAnsi" w:eastAsiaTheme="majorEastAsia" w:hAnsiTheme="majorHAnsi" w:cstheme="majorBidi"/>
      <w:i/>
      <w:iCs/>
      <w:color w:val="2E74B5" w:themeColor="accent1" w:themeShade="BF"/>
      <w:sz w:val="24"/>
    </w:rPr>
  </w:style>
  <w:style w:type="character" w:customStyle="1" w:styleId="Titre5Car">
    <w:name w:val="Titre 5 Car"/>
    <w:basedOn w:val="Policepardfaut"/>
    <w:link w:val="Titre5"/>
    <w:uiPriority w:val="9"/>
    <w:semiHidden/>
    <w:rsid w:val="0008298D"/>
    <w:rPr>
      <w:rFonts w:asciiTheme="majorHAnsi" w:eastAsiaTheme="majorEastAsia" w:hAnsiTheme="majorHAnsi" w:cstheme="majorBidi"/>
      <w:color w:val="2E74B5" w:themeColor="accent1" w:themeShade="BF"/>
      <w:sz w:val="24"/>
    </w:rPr>
  </w:style>
  <w:style w:type="character" w:customStyle="1" w:styleId="Titre6Car">
    <w:name w:val="Titre 6 Car"/>
    <w:basedOn w:val="Policepardfaut"/>
    <w:link w:val="Titre6"/>
    <w:uiPriority w:val="9"/>
    <w:semiHidden/>
    <w:rsid w:val="0008298D"/>
    <w:rPr>
      <w:rFonts w:asciiTheme="majorHAnsi" w:eastAsiaTheme="majorEastAsia" w:hAnsiTheme="majorHAnsi" w:cstheme="majorBidi"/>
      <w:color w:val="1F4D78" w:themeColor="accent1" w:themeShade="7F"/>
      <w:sz w:val="24"/>
    </w:rPr>
  </w:style>
  <w:style w:type="character" w:customStyle="1" w:styleId="Titre7Car">
    <w:name w:val="Titre 7 Car"/>
    <w:basedOn w:val="Policepardfaut"/>
    <w:link w:val="Titre7"/>
    <w:uiPriority w:val="9"/>
    <w:semiHidden/>
    <w:rsid w:val="0008298D"/>
    <w:rPr>
      <w:rFonts w:asciiTheme="majorHAnsi" w:eastAsiaTheme="majorEastAsia" w:hAnsiTheme="majorHAnsi" w:cstheme="majorBidi"/>
      <w:i/>
      <w:iCs/>
      <w:color w:val="1F4D78" w:themeColor="accent1" w:themeShade="7F"/>
      <w:sz w:val="24"/>
    </w:rPr>
  </w:style>
  <w:style w:type="character" w:customStyle="1" w:styleId="Titre8Car">
    <w:name w:val="Titre 8 Car"/>
    <w:basedOn w:val="Policepardfaut"/>
    <w:link w:val="Titre8"/>
    <w:uiPriority w:val="9"/>
    <w:semiHidden/>
    <w:rsid w:val="0008298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8298D"/>
    <w:rPr>
      <w:rFonts w:asciiTheme="majorHAnsi" w:eastAsiaTheme="majorEastAsia" w:hAnsiTheme="majorHAnsi" w:cstheme="majorBidi"/>
      <w:i/>
      <w:iCs/>
      <w:color w:val="272727" w:themeColor="text1" w:themeTint="D8"/>
      <w:sz w:val="21"/>
      <w:szCs w:val="21"/>
    </w:rPr>
  </w:style>
  <w:style w:type="paragraph" w:customStyle="1" w:styleId="MDPI11articletype">
    <w:name w:val="MDPI_1.1_article_type"/>
    <w:next w:val="Normal"/>
    <w:qFormat/>
    <w:rsid w:val="009E3D55"/>
    <w:pPr>
      <w:adjustRightInd w:val="0"/>
      <w:snapToGrid w:val="0"/>
      <w:spacing w:before="240" w:line="360" w:lineRule="auto"/>
      <w:jc w:val="both"/>
    </w:pPr>
    <w:rPr>
      <w:rFonts w:ascii="Palatino Linotype" w:eastAsia="Times New Roman" w:hAnsi="Palatino Linotype" w:cs="Times New Roman"/>
      <w:b/>
      <w:i/>
      <w:snapToGrid w:val="0"/>
      <w:color w:val="000000"/>
      <w:sz w:val="24"/>
      <w:lang w:eastAsia="de-DE" w:bidi="en-US"/>
    </w:rPr>
  </w:style>
  <w:style w:type="paragraph" w:customStyle="1" w:styleId="MDPI12title">
    <w:name w:val="MDPI_1.2_title"/>
    <w:next w:val="Normal"/>
    <w:qFormat/>
    <w:rsid w:val="009E3D55"/>
    <w:pPr>
      <w:adjustRightInd w:val="0"/>
      <w:snapToGrid w:val="0"/>
      <w:spacing w:after="240" w:line="240" w:lineRule="atLeast"/>
      <w:jc w:val="both"/>
    </w:pPr>
    <w:rPr>
      <w:rFonts w:ascii="Palatino Linotype" w:eastAsia="Times New Roman" w:hAnsi="Palatino Linotype" w:cs="Times New Roman"/>
      <w:snapToGrid w:val="0"/>
      <w:color w:val="000000"/>
      <w:sz w:val="36"/>
      <w:szCs w:val="24"/>
      <w:lang w:eastAsia="de-DE" w:bidi="en-US"/>
    </w:rPr>
  </w:style>
  <w:style w:type="paragraph" w:styleId="NormalWeb">
    <w:name w:val="Normal (Web)"/>
    <w:basedOn w:val="Normal"/>
    <w:link w:val="NormalWebCar"/>
    <w:uiPriority w:val="99"/>
    <w:unhideWhenUsed/>
    <w:qFormat/>
    <w:rsid w:val="009E3D55"/>
  </w:style>
  <w:style w:type="paragraph" w:styleId="Paragraphedeliste">
    <w:name w:val="List Paragraph"/>
    <w:aliases w:val="Liste couleur - Accent 11,References,Liste couleur - Accent 111,Bullets,Paragraphe de liste3,Bullet 1,List bullet,Lettre d'introduction,List Paragraph2,Puces,List Paragraph,- List tir,liste 1,Paragraphe John,List Paragraph1,Ha"/>
    <w:basedOn w:val="Normal"/>
    <w:link w:val="ParagraphedelisteCar"/>
    <w:uiPriority w:val="34"/>
    <w:qFormat/>
    <w:rsid w:val="009E3D55"/>
    <w:pPr>
      <w:ind w:left="720"/>
      <w:contextualSpacing/>
    </w:pPr>
    <w:rPr>
      <w:rFonts w:ascii="Calibri" w:eastAsia="Calibri" w:hAnsi="Calibri"/>
      <w:sz w:val="22"/>
      <w:lang w:val="fr-BE"/>
    </w:rPr>
  </w:style>
  <w:style w:type="character" w:customStyle="1" w:styleId="ParagraphedelisteCar">
    <w:name w:val="Paragraphe de liste Car"/>
    <w:aliases w:val="Liste couleur - Accent 11 Car,References Car,Liste couleur - Accent 111 Car,Bullets Car,Paragraphe de liste3 Car,Bullet 1 Car,List bullet Car,Lettre d'introduction Car,List Paragraph2 Car,Puces Car,List Paragraph Car,liste 1 Car"/>
    <w:link w:val="Paragraphedeliste"/>
    <w:uiPriority w:val="34"/>
    <w:qFormat/>
    <w:locked/>
    <w:rsid w:val="009E3D55"/>
    <w:rPr>
      <w:rFonts w:ascii="Calibri" w:eastAsia="Calibri" w:hAnsi="Calibri"/>
      <w:lang w:val="fr-BE"/>
    </w:rPr>
  </w:style>
  <w:style w:type="paragraph" w:styleId="Pieddepage">
    <w:name w:val="footer"/>
    <w:basedOn w:val="Normal"/>
    <w:link w:val="PieddepageCar"/>
    <w:uiPriority w:val="99"/>
    <w:unhideWhenUsed/>
    <w:rsid w:val="009E3D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D55"/>
    <w:rPr>
      <w:rFonts w:ascii="Times New Roman" w:hAnsi="Times New Roman"/>
      <w:sz w:val="24"/>
    </w:rPr>
  </w:style>
  <w:style w:type="character" w:styleId="Lienhypertexte">
    <w:name w:val="Hyperlink"/>
    <w:uiPriority w:val="99"/>
    <w:rsid w:val="009E3D55"/>
    <w:rPr>
      <w:color w:val="0000FF"/>
      <w:u w:val="single"/>
    </w:rPr>
  </w:style>
  <w:style w:type="table" w:styleId="Grilledutableau">
    <w:name w:val="Table Grid"/>
    <w:basedOn w:val="TableauNormal"/>
    <w:uiPriority w:val="39"/>
    <w:qFormat/>
    <w:rsid w:val="009E3D55"/>
    <w:pPr>
      <w:spacing w:after="0" w:line="240" w:lineRule="auto"/>
      <w:jc w:val="both"/>
    </w:pPr>
    <w:rPr>
      <w:rFonts w:ascii="Times New Roman" w:hAnsi="Times New Roman" w:cs="Times New Roman"/>
      <w:b/>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9E3D55"/>
    <w:pPr>
      <w:spacing w:after="0" w:line="240" w:lineRule="auto"/>
      <w:jc w:val="both"/>
    </w:pPr>
    <w:rPr>
      <w:rFonts w:ascii="Times New Roman" w:hAnsi="Times New Roman" w:cs="Times New Roman"/>
      <w:b/>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Policepardfaut"/>
    <w:uiPriority w:val="99"/>
    <w:semiHidden/>
    <w:unhideWhenUsed/>
    <w:rsid w:val="003132FB"/>
    <w:rPr>
      <w:color w:val="605E5C"/>
      <w:shd w:val="clear" w:color="auto" w:fill="E1DFDD"/>
    </w:rPr>
  </w:style>
  <w:style w:type="paragraph" w:styleId="Bibliographie">
    <w:name w:val="Bibliography"/>
    <w:basedOn w:val="Normal"/>
    <w:next w:val="Normal"/>
    <w:uiPriority w:val="37"/>
    <w:unhideWhenUsed/>
    <w:rsid w:val="003132FB"/>
  </w:style>
  <w:style w:type="character" w:styleId="lev">
    <w:name w:val="Strong"/>
    <w:basedOn w:val="Policepardfaut"/>
    <w:uiPriority w:val="22"/>
    <w:qFormat/>
    <w:rsid w:val="003132FB"/>
    <w:rPr>
      <w:b/>
      <w:bCs/>
    </w:rPr>
  </w:style>
  <w:style w:type="paragraph" w:styleId="Lgende">
    <w:name w:val="caption"/>
    <w:basedOn w:val="Normal"/>
    <w:next w:val="Normal"/>
    <w:uiPriority w:val="35"/>
    <w:unhideWhenUsed/>
    <w:qFormat/>
    <w:rsid w:val="003132FB"/>
    <w:pPr>
      <w:spacing w:line="240" w:lineRule="auto"/>
    </w:pPr>
    <w:rPr>
      <w:rFonts w:asciiTheme="minorHAnsi" w:hAnsiTheme="minorHAnsi"/>
      <w:i/>
      <w:iCs/>
      <w:color w:val="44546A" w:themeColor="text2"/>
      <w:sz w:val="18"/>
      <w:szCs w:val="18"/>
    </w:rPr>
  </w:style>
  <w:style w:type="table" w:styleId="Ombrageclair">
    <w:name w:val="Light Shading"/>
    <w:basedOn w:val="TableauNormal"/>
    <w:uiPriority w:val="60"/>
    <w:rsid w:val="003132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aire">
    <w:name w:val="annotation text"/>
    <w:basedOn w:val="Normal"/>
    <w:link w:val="CommentaireCar"/>
    <w:uiPriority w:val="99"/>
    <w:unhideWhenUsed/>
    <w:rsid w:val="003132FB"/>
    <w:pPr>
      <w:spacing w:line="240" w:lineRule="auto"/>
    </w:pPr>
    <w:rPr>
      <w:rFonts w:asciiTheme="minorHAnsi" w:hAnsiTheme="minorHAnsi"/>
      <w:sz w:val="20"/>
      <w:szCs w:val="20"/>
    </w:rPr>
  </w:style>
  <w:style w:type="character" w:customStyle="1" w:styleId="CommentaireCar">
    <w:name w:val="Commentaire Car"/>
    <w:basedOn w:val="Policepardfaut"/>
    <w:link w:val="Commentaire"/>
    <w:uiPriority w:val="99"/>
    <w:rsid w:val="003132FB"/>
    <w:rPr>
      <w:sz w:val="20"/>
      <w:szCs w:val="20"/>
    </w:rPr>
  </w:style>
  <w:style w:type="character" w:customStyle="1" w:styleId="ObjetducommentaireCar">
    <w:name w:val="Objet du commentaire Car"/>
    <w:basedOn w:val="CommentaireCar"/>
    <w:link w:val="Objetducommentaire"/>
    <w:uiPriority w:val="99"/>
    <w:semiHidden/>
    <w:rsid w:val="003132FB"/>
    <w:rPr>
      <w:b/>
      <w:bCs/>
      <w:sz w:val="20"/>
      <w:szCs w:val="20"/>
    </w:rPr>
  </w:style>
  <w:style w:type="paragraph" w:styleId="Objetducommentaire">
    <w:name w:val="annotation subject"/>
    <w:basedOn w:val="Commentaire"/>
    <w:next w:val="Commentaire"/>
    <w:link w:val="ObjetducommentaireCar"/>
    <w:uiPriority w:val="99"/>
    <w:semiHidden/>
    <w:unhideWhenUsed/>
    <w:rsid w:val="003132FB"/>
    <w:rPr>
      <w:b/>
      <w:bCs/>
    </w:rPr>
  </w:style>
  <w:style w:type="character" w:customStyle="1" w:styleId="glossary-item-container">
    <w:name w:val="glossary-item-container"/>
    <w:basedOn w:val="Policepardfaut"/>
    <w:rsid w:val="003132FB"/>
  </w:style>
  <w:style w:type="table" w:customStyle="1" w:styleId="TableauListe6Couleur1">
    <w:name w:val="Tableau Liste 6 Couleur1"/>
    <w:basedOn w:val="TableauNormal"/>
    <w:uiPriority w:val="51"/>
    <w:rsid w:val="00C0262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sid w:val="00C0262E"/>
    <w:rPr>
      <w:sz w:val="16"/>
      <w:szCs w:val="16"/>
    </w:rPr>
  </w:style>
  <w:style w:type="character" w:styleId="Lienhypertextesuivivisit">
    <w:name w:val="FollowedHyperlink"/>
    <w:basedOn w:val="Policepardfaut"/>
    <w:uiPriority w:val="99"/>
    <w:semiHidden/>
    <w:unhideWhenUsed/>
    <w:rsid w:val="00C0262E"/>
    <w:rPr>
      <w:color w:val="954F72" w:themeColor="followedHyperlink"/>
      <w:u w:val="single"/>
    </w:rPr>
  </w:style>
  <w:style w:type="table" w:styleId="TableauGrille6Couleur-Accentuation3">
    <w:name w:val="Grid Table 6 Colorful Accent 3"/>
    <w:basedOn w:val="TableauNormal"/>
    <w:uiPriority w:val="51"/>
    <w:rsid w:val="00C0262E"/>
    <w:pPr>
      <w:spacing w:after="0" w:line="240" w:lineRule="auto"/>
    </w:pPr>
    <w:rPr>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C0262E"/>
    <w:pPr>
      <w:spacing w:after="0" w:line="240" w:lineRule="auto"/>
    </w:pPr>
    <w:rPr>
      <w:kern w:val="2"/>
      <w:lang w:val="fr-B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etableauclaire">
    <w:name w:val="Grid Table Light"/>
    <w:basedOn w:val="TableauNormal"/>
    <w:uiPriority w:val="40"/>
    <w:rsid w:val="00C0262E"/>
    <w:pPr>
      <w:spacing w:after="0" w:line="240" w:lineRule="auto"/>
    </w:pPr>
    <w:rPr>
      <w:kern w:val="2"/>
      <w:lang w:val="fr-BE"/>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5">
    <w:name w:val="Plain Table 5"/>
    <w:basedOn w:val="TableauNormal"/>
    <w:uiPriority w:val="45"/>
    <w:rsid w:val="00D16F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tte">
    <w:name w:val="header"/>
    <w:basedOn w:val="Normal"/>
    <w:link w:val="En-tteCar"/>
    <w:uiPriority w:val="99"/>
    <w:unhideWhenUsed/>
    <w:rsid w:val="00D14C1A"/>
    <w:pPr>
      <w:tabs>
        <w:tab w:val="center" w:pos="4536"/>
        <w:tab w:val="right" w:pos="9072"/>
      </w:tabs>
      <w:spacing w:after="0" w:line="240" w:lineRule="auto"/>
    </w:pPr>
  </w:style>
  <w:style w:type="character" w:customStyle="1" w:styleId="En-tteCar">
    <w:name w:val="En-tête Car"/>
    <w:basedOn w:val="Policepardfaut"/>
    <w:link w:val="En-tte"/>
    <w:uiPriority w:val="99"/>
    <w:rsid w:val="00D14C1A"/>
    <w:rPr>
      <w:rFonts w:ascii="Times New Roman" w:hAnsi="Times New Roman"/>
      <w:sz w:val="24"/>
    </w:rPr>
  </w:style>
  <w:style w:type="paragraph" w:customStyle="1" w:styleId="Table">
    <w:name w:val="Table"/>
    <w:basedOn w:val="Normal"/>
    <w:link w:val="TableCar"/>
    <w:qFormat/>
    <w:rsid w:val="0008298D"/>
    <w:pPr>
      <w:numPr>
        <w:numId w:val="2"/>
      </w:numPr>
      <w:spacing w:after="40" w:line="360" w:lineRule="auto"/>
      <w:ind w:left="360"/>
      <w:jc w:val="both"/>
    </w:pPr>
    <w:rPr>
      <w:rFonts w:eastAsia="Times New Roman" w:cs="Times New Roman"/>
      <w:b/>
      <w:szCs w:val="24"/>
    </w:rPr>
  </w:style>
  <w:style w:type="character" w:customStyle="1" w:styleId="TableCar">
    <w:name w:val="Table Car"/>
    <w:basedOn w:val="Policepardfaut"/>
    <w:link w:val="Table"/>
    <w:rsid w:val="0008298D"/>
    <w:rPr>
      <w:rFonts w:ascii="Times New Roman" w:eastAsia="Times New Roman" w:hAnsi="Times New Roman" w:cs="Times New Roman"/>
      <w:b/>
      <w:sz w:val="24"/>
      <w:szCs w:val="24"/>
    </w:rPr>
  </w:style>
  <w:style w:type="table" w:styleId="Tableauclassique1">
    <w:name w:val="Table Classic 1"/>
    <w:basedOn w:val="TableauNormal"/>
    <w:rsid w:val="0008298D"/>
    <w:pPr>
      <w:spacing w:after="0" w:line="240" w:lineRule="auto"/>
    </w:pPr>
    <w:rPr>
      <w:rFonts w:ascii="Times New Roman" w:eastAsia="Times New Roman" w:hAnsi="Times New Roman" w:cs="Times New Roman"/>
      <w:b/>
      <w:sz w:val="24"/>
      <w:szCs w:val="24"/>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lledetableauclaire1">
    <w:name w:val="Grille de tableau claire1"/>
    <w:basedOn w:val="TableauNormal"/>
    <w:next w:val="Grilledetableauclaire"/>
    <w:uiPriority w:val="40"/>
    <w:rsid w:val="0008298D"/>
    <w:pPr>
      <w:spacing w:after="0" w:line="240" w:lineRule="auto"/>
    </w:pPr>
    <w:rPr>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formatHTML">
    <w:name w:val="HTML Preformatted"/>
    <w:basedOn w:val="Normal"/>
    <w:link w:val="PrformatHTMLCar"/>
    <w:uiPriority w:val="99"/>
    <w:semiHidden/>
    <w:unhideWhenUsed/>
    <w:rsid w:val="00BD6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D6768"/>
    <w:rPr>
      <w:rFonts w:ascii="Courier New" w:eastAsia="Times New Roman" w:hAnsi="Courier New" w:cs="Courier New"/>
      <w:sz w:val="20"/>
      <w:szCs w:val="20"/>
      <w:lang w:eastAsia="fr-FR"/>
    </w:rPr>
  </w:style>
  <w:style w:type="character" w:customStyle="1" w:styleId="y2iqfc">
    <w:name w:val="y2iqfc"/>
    <w:basedOn w:val="Policepardfaut"/>
    <w:rsid w:val="00BD6768"/>
  </w:style>
  <w:style w:type="table" w:customStyle="1" w:styleId="Grilledutableau5">
    <w:name w:val="Grille du tableau5"/>
    <w:basedOn w:val="TableauNormal"/>
    <w:next w:val="Grilledutableau"/>
    <w:uiPriority w:val="39"/>
    <w:rsid w:val="00BD676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722C"/>
    <w:pPr>
      <w:autoSpaceDE w:val="0"/>
      <w:autoSpaceDN w:val="0"/>
      <w:adjustRightInd w:val="0"/>
      <w:spacing w:after="0" w:line="240" w:lineRule="auto"/>
    </w:pPr>
    <w:rPr>
      <w:rFonts w:ascii="Calibri" w:hAnsi="Calibri" w:cs="Calibri"/>
      <w:color w:val="000000"/>
      <w:sz w:val="24"/>
      <w:szCs w:val="24"/>
    </w:rPr>
  </w:style>
  <w:style w:type="table" w:customStyle="1" w:styleId="Grilledutableau1">
    <w:name w:val="Grille du tableau1"/>
    <w:basedOn w:val="TableauNormal"/>
    <w:next w:val="Grilledutableau"/>
    <w:uiPriority w:val="39"/>
    <w:rsid w:val="0009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BA62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Car Car Car Car Car Car Car Car Car Car Car Car Car Car Car"/>
    <w:basedOn w:val="Normal"/>
    <w:next w:val="Normal"/>
    <w:link w:val="TitreCar"/>
    <w:qFormat/>
    <w:rsid w:val="00FD1F1B"/>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reCar">
    <w:name w:val="Titre Car"/>
    <w:aliases w:val="Titre Car Car Car Car Car Car Car Car Car Car Car Car Car Car Car Car"/>
    <w:basedOn w:val="Policepardfaut"/>
    <w:link w:val="Titre"/>
    <w:rsid w:val="00FD1F1B"/>
    <w:rPr>
      <w:rFonts w:asciiTheme="majorHAnsi" w:eastAsiaTheme="majorEastAsia" w:hAnsiTheme="majorHAnsi" w:cstheme="majorBidi"/>
      <w:spacing w:val="-10"/>
      <w:kern w:val="28"/>
      <w:sz w:val="56"/>
      <w:szCs w:val="56"/>
    </w:rPr>
  </w:style>
  <w:style w:type="paragraph" w:customStyle="1" w:styleId="Tableau">
    <w:name w:val="Tableau"/>
    <w:basedOn w:val="Normal"/>
    <w:link w:val="TableauCar"/>
    <w:qFormat/>
    <w:rsid w:val="00FD1F1B"/>
    <w:pPr>
      <w:numPr>
        <w:numId w:val="3"/>
      </w:numPr>
      <w:spacing w:after="0" w:line="360" w:lineRule="auto"/>
      <w:ind w:left="360"/>
      <w:jc w:val="both"/>
    </w:pPr>
    <w:rPr>
      <w:rFonts w:eastAsia="Times New Roman" w:cs="Times New Roman"/>
      <w:b/>
      <w:iCs/>
      <w:color w:val="000000"/>
      <w:szCs w:val="24"/>
      <w:lang w:eastAsia="fr-FR"/>
    </w:rPr>
  </w:style>
  <w:style w:type="character" w:customStyle="1" w:styleId="TableauCar">
    <w:name w:val="Tableau Car"/>
    <w:basedOn w:val="Policepardfaut"/>
    <w:link w:val="Tableau"/>
    <w:rsid w:val="00FD1F1B"/>
    <w:rPr>
      <w:rFonts w:ascii="Times New Roman" w:eastAsia="Times New Roman" w:hAnsi="Times New Roman" w:cs="Times New Roman"/>
      <w:b/>
      <w:iCs/>
      <w:color w:val="000000"/>
      <w:sz w:val="24"/>
      <w:szCs w:val="24"/>
      <w:lang w:eastAsia="fr-FR"/>
    </w:rPr>
  </w:style>
  <w:style w:type="paragraph" w:styleId="Sansinterligne">
    <w:name w:val="No Spacing"/>
    <w:uiPriority w:val="1"/>
    <w:qFormat/>
    <w:rsid w:val="00FD1F1B"/>
    <w:pPr>
      <w:spacing w:after="0" w:line="240" w:lineRule="auto"/>
    </w:pPr>
  </w:style>
  <w:style w:type="paragraph" w:styleId="Textedebulles">
    <w:name w:val="Balloon Text"/>
    <w:basedOn w:val="Normal"/>
    <w:link w:val="TextedebullesCar"/>
    <w:uiPriority w:val="99"/>
    <w:semiHidden/>
    <w:unhideWhenUsed/>
    <w:rsid w:val="00FD1F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1F1B"/>
    <w:rPr>
      <w:rFonts w:ascii="Segoe UI" w:hAnsi="Segoe UI" w:cs="Segoe UI"/>
      <w:sz w:val="18"/>
      <w:szCs w:val="18"/>
    </w:rPr>
  </w:style>
  <w:style w:type="table" w:styleId="TableauGrille1Clair">
    <w:name w:val="Grid Table 1 Light"/>
    <w:basedOn w:val="TableauNormal"/>
    <w:uiPriority w:val="46"/>
    <w:rsid w:val="000874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Policepardfaut"/>
    <w:rsid w:val="009C0321"/>
  </w:style>
  <w:style w:type="paragraph" w:customStyle="1" w:styleId="Pa2">
    <w:name w:val="Pa2"/>
    <w:basedOn w:val="Normal"/>
    <w:next w:val="Normal"/>
    <w:uiPriority w:val="99"/>
    <w:rsid w:val="002A75F5"/>
    <w:pPr>
      <w:autoSpaceDE w:val="0"/>
      <w:autoSpaceDN w:val="0"/>
      <w:adjustRightInd w:val="0"/>
      <w:spacing w:after="0" w:line="241" w:lineRule="atLeast"/>
    </w:pPr>
    <w:rPr>
      <w:rFonts w:ascii="Cambria" w:hAnsi="Cambria"/>
      <w:szCs w:val="24"/>
    </w:rPr>
  </w:style>
  <w:style w:type="paragraph" w:customStyle="1" w:styleId="reference">
    <w:name w:val="reference"/>
    <w:basedOn w:val="Normal"/>
    <w:uiPriority w:val="99"/>
    <w:rsid w:val="008914CB"/>
    <w:pPr>
      <w:spacing w:before="100" w:beforeAutospacing="1" w:after="100" w:afterAutospacing="1" w:line="240" w:lineRule="auto"/>
    </w:pPr>
    <w:rPr>
      <w:rFonts w:eastAsia="Times New Roman" w:cs="Times New Roman"/>
      <w:szCs w:val="24"/>
      <w:lang w:eastAsia="fr-FR"/>
    </w:rPr>
  </w:style>
  <w:style w:type="character" w:customStyle="1" w:styleId="vuuxrf">
    <w:name w:val="vuuxrf"/>
    <w:basedOn w:val="Policepardfaut"/>
    <w:rsid w:val="008914CB"/>
  </w:style>
  <w:style w:type="character" w:customStyle="1" w:styleId="ig7wge">
    <w:name w:val="ig7wge"/>
    <w:basedOn w:val="Policepardfaut"/>
    <w:rsid w:val="008914CB"/>
  </w:style>
  <w:style w:type="character" w:customStyle="1" w:styleId="dyjrff">
    <w:name w:val="dyjrff"/>
    <w:basedOn w:val="Policepardfaut"/>
    <w:rsid w:val="008914CB"/>
  </w:style>
  <w:style w:type="character" w:customStyle="1" w:styleId="reference-mixed-citation">
    <w:name w:val="reference-mixed-citation"/>
    <w:basedOn w:val="Policepardfaut"/>
    <w:rsid w:val="008914CB"/>
  </w:style>
  <w:style w:type="character" w:styleId="CitationHTML">
    <w:name w:val="HTML Cite"/>
    <w:basedOn w:val="Policepardfaut"/>
    <w:uiPriority w:val="99"/>
    <w:semiHidden/>
    <w:unhideWhenUsed/>
    <w:rsid w:val="008914CB"/>
    <w:rPr>
      <w:i/>
      <w:iCs/>
    </w:rPr>
  </w:style>
  <w:style w:type="character" w:styleId="Accentuation">
    <w:name w:val="Emphasis"/>
    <w:basedOn w:val="Policepardfaut"/>
    <w:uiPriority w:val="20"/>
    <w:qFormat/>
    <w:rsid w:val="008914CB"/>
    <w:rPr>
      <w:i/>
      <w:iCs/>
    </w:rPr>
  </w:style>
  <w:style w:type="paragraph" w:customStyle="1" w:styleId="msonormal0">
    <w:name w:val="msonormal"/>
    <w:basedOn w:val="Normal"/>
    <w:uiPriority w:val="99"/>
    <w:semiHidden/>
    <w:rsid w:val="00A616BD"/>
    <w:pPr>
      <w:spacing w:before="100" w:beforeAutospacing="1" w:after="100" w:afterAutospacing="1" w:line="240" w:lineRule="auto"/>
    </w:pPr>
    <w:rPr>
      <w:rFonts w:eastAsia="Times New Roman" w:cs="Times New Roman"/>
      <w:szCs w:val="24"/>
      <w:lang w:eastAsia="fr-FR"/>
    </w:rPr>
  </w:style>
  <w:style w:type="paragraph" w:customStyle="1" w:styleId="TableParagraph">
    <w:name w:val="Table Paragraph"/>
    <w:basedOn w:val="Normal"/>
    <w:uiPriority w:val="1"/>
    <w:semiHidden/>
    <w:qFormat/>
    <w:rsid w:val="00A616BD"/>
    <w:pPr>
      <w:widowControl w:val="0"/>
      <w:autoSpaceDE w:val="0"/>
      <w:autoSpaceDN w:val="0"/>
      <w:adjustRightInd w:val="0"/>
      <w:spacing w:after="0" w:line="240" w:lineRule="auto"/>
      <w:ind w:left="79"/>
    </w:pPr>
    <w:rPr>
      <w:rFonts w:ascii="Calibri" w:eastAsia="Times New Roman" w:hAnsi="Calibri" w:cs="Calibri"/>
      <w:szCs w:val="24"/>
      <w:lang w:val="en-US"/>
    </w:rPr>
  </w:style>
  <w:style w:type="table" w:customStyle="1" w:styleId="TableauGrille1Clair-Accentuation31">
    <w:name w:val="Tableau Grille 1 Clair - Accentuation 31"/>
    <w:basedOn w:val="TableauNormal"/>
    <w:uiPriority w:val="46"/>
    <w:rsid w:val="00A616BD"/>
    <w:pPr>
      <w:spacing w:after="0" w:line="240" w:lineRule="auto"/>
    </w:pPr>
    <w:tblPr>
      <w:tblStyleRowBandSize w:val="1"/>
      <w:tblStyleColBandSize w:val="1"/>
      <w:tblInd w:w="0" w:type="nil"/>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ausimple21">
    <w:name w:val="Tableau simple 21"/>
    <w:basedOn w:val="TableauNormal"/>
    <w:uiPriority w:val="42"/>
    <w:rsid w:val="00A616BD"/>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1">
    <w:name w:val="Grille du tableau11"/>
    <w:basedOn w:val="TableauNormal"/>
    <w:next w:val="Grilledutableau"/>
    <w:uiPriority w:val="39"/>
    <w:rsid w:val="0048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link w:val="NormalWeb"/>
    <w:uiPriority w:val="99"/>
    <w:rsid w:val="00EF4039"/>
    <w:rPr>
      <w:rFonts w:ascii="Times New Roman" w:hAnsi="Times New Roman"/>
      <w:sz w:val="24"/>
    </w:rPr>
  </w:style>
  <w:style w:type="table" w:styleId="TableauListe1Clair">
    <w:name w:val="List Table 1 Light"/>
    <w:basedOn w:val="TableauNormal"/>
    <w:uiPriority w:val="46"/>
    <w:rsid w:val="001A6C1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839">
      <w:bodyDiv w:val="1"/>
      <w:marLeft w:val="0"/>
      <w:marRight w:val="0"/>
      <w:marTop w:val="0"/>
      <w:marBottom w:val="0"/>
      <w:divBdr>
        <w:top w:val="none" w:sz="0" w:space="0" w:color="auto"/>
        <w:left w:val="none" w:sz="0" w:space="0" w:color="auto"/>
        <w:bottom w:val="none" w:sz="0" w:space="0" w:color="auto"/>
        <w:right w:val="none" w:sz="0" w:space="0" w:color="auto"/>
      </w:divBdr>
    </w:div>
    <w:div w:id="102265070">
      <w:bodyDiv w:val="1"/>
      <w:marLeft w:val="0"/>
      <w:marRight w:val="0"/>
      <w:marTop w:val="0"/>
      <w:marBottom w:val="0"/>
      <w:divBdr>
        <w:top w:val="none" w:sz="0" w:space="0" w:color="auto"/>
        <w:left w:val="none" w:sz="0" w:space="0" w:color="auto"/>
        <w:bottom w:val="none" w:sz="0" w:space="0" w:color="auto"/>
        <w:right w:val="none" w:sz="0" w:space="0" w:color="auto"/>
      </w:divBdr>
    </w:div>
    <w:div w:id="125049159">
      <w:bodyDiv w:val="1"/>
      <w:marLeft w:val="0"/>
      <w:marRight w:val="0"/>
      <w:marTop w:val="0"/>
      <w:marBottom w:val="0"/>
      <w:divBdr>
        <w:top w:val="none" w:sz="0" w:space="0" w:color="auto"/>
        <w:left w:val="none" w:sz="0" w:space="0" w:color="auto"/>
        <w:bottom w:val="none" w:sz="0" w:space="0" w:color="auto"/>
        <w:right w:val="none" w:sz="0" w:space="0" w:color="auto"/>
      </w:divBdr>
    </w:div>
    <w:div w:id="156924434">
      <w:bodyDiv w:val="1"/>
      <w:marLeft w:val="0"/>
      <w:marRight w:val="0"/>
      <w:marTop w:val="0"/>
      <w:marBottom w:val="0"/>
      <w:divBdr>
        <w:top w:val="none" w:sz="0" w:space="0" w:color="auto"/>
        <w:left w:val="none" w:sz="0" w:space="0" w:color="auto"/>
        <w:bottom w:val="none" w:sz="0" w:space="0" w:color="auto"/>
        <w:right w:val="none" w:sz="0" w:space="0" w:color="auto"/>
      </w:divBdr>
    </w:div>
    <w:div w:id="189878269">
      <w:bodyDiv w:val="1"/>
      <w:marLeft w:val="0"/>
      <w:marRight w:val="0"/>
      <w:marTop w:val="0"/>
      <w:marBottom w:val="0"/>
      <w:divBdr>
        <w:top w:val="none" w:sz="0" w:space="0" w:color="auto"/>
        <w:left w:val="none" w:sz="0" w:space="0" w:color="auto"/>
        <w:bottom w:val="none" w:sz="0" w:space="0" w:color="auto"/>
        <w:right w:val="none" w:sz="0" w:space="0" w:color="auto"/>
      </w:divBdr>
    </w:div>
    <w:div w:id="517736831">
      <w:bodyDiv w:val="1"/>
      <w:marLeft w:val="0"/>
      <w:marRight w:val="0"/>
      <w:marTop w:val="0"/>
      <w:marBottom w:val="0"/>
      <w:divBdr>
        <w:top w:val="none" w:sz="0" w:space="0" w:color="auto"/>
        <w:left w:val="none" w:sz="0" w:space="0" w:color="auto"/>
        <w:bottom w:val="none" w:sz="0" w:space="0" w:color="auto"/>
        <w:right w:val="none" w:sz="0" w:space="0" w:color="auto"/>
      </w:divBdr>
    </w:div>
    <w:div w:id="557671155">
      <w:bodyDiv w:val="1"/>
      <w:marLeft w:val="0"/>
      <w:marRight w:val="0"/>
      <w:marTop w:val="0"/>
      <w:marBottom w:val="0"/>
      <w:divBdr>
        <w:top w:val="none" w:sz="0" w:space="0" w:color="auto"/>
        <w:left w:val="none" w:sz="0" w:space="0" w:color="auto"/>
        <w:bottom w:val="none" w:sz="0" w:space="0" w:color="auto"/>
        <w:right w:val="none" w:sz="0" w:space="0" w:color="auto"/>
      </w:divBdr>
    </w:div>
    <w:div w:id="855651840">
      <w:bodyDiv w:val="1"/>
      <w:marLeft w:val="0"/>
      <w:marRight w:val="0"/>
      <w:marTop w:val="0"/>
      <w:marBottom w:val="0"/>
      <w:divBdr>
        <w:top w:val="none" w:sz="0" w:space="0" w:color="auto"/>
        <w:left w:val="none" w:sz="0" w:space="0" w:color="auto"/>
        <w:bottom w:val="none" w:sz="0" w:space="0" w:color="auto"/>
        <w:right w:val="none" w:sz="0" w:space="0" w:color="auto"/>
      </w:divBdr>
    </w:div>
    <w:div w:id="1178735034">
      <w:bodyDiv w:val="1"/>
      <w:marLeft w:val="0"/>
      <w:marRight w:val="0"/>
      <w:marTop w:val="0"/>
      <w:marBottom w:val="0"/>
      <w:divBdr>
        <w:top w:val="none" w:sz="0" w:space="0" w:color="auto"/>
        <w:left w:val="none" w:sz="0" w:space="0" w:color="auto"/>
        <w:bottom w:val="none" w:sz="0" w:space="0" w:color="auto"/>
        <w:right w:val="none" w:sz="0" w:space="0" w:color="auto"/>
      </w:divBdr>
    </w:div>
    <w:div w:id="1444690173">
      <w:bodyDiv w:val="1"/>
      <w:marLeft w:val="0"/>
      <w:marRight w:val="0"/>
      <w:marTop w:val="0"/>
      <w:marBottom w:val="0"/>
      <w:divBdr>
        <w:top w:val="none" w:sz="0" w:space="0" w:color="auto"/>
        <w:left w:val="none" w:sz="0" w:space="0" w:color="auto"/>
        <w:bottom w:val="none" w:sz="0" w:space="0" w:color="auto"/>
        <w:right w:val="none" w:sz="0" w:space="0" w:color="auto"/>
      </w:divBdr>
    </w:div>
    <w:div w:id="1577744923">
      <w:bodyDiv w:val="1"/>
      <w:marLeft w:val="0"/>
      <w:marRight w:val="0"/>
      <w:marTop w:val="0"/>
      <w:marBottom w:val="0"/>
      <w:divBdr>
        <w:top w:val="none" w:sz="0" w:space="0" w:color="auto"/>
        <w:left w:val="none" w:sz="0" w:space="0" w:color="auto"/>
        <w:bottom w:val="none" w:sz="0" w:space="0" w:color="auto"/>
        <w:right w:val="none" w:sz="0" w:space="0" w:color="auto"/>
      </w:divBdr>
    </w:div>
    <w:div w:id="1597403182">
      <w:bodyDiv w:val="1"/>
      <w:marLeft w:val="0"/>
      <w:marRight w:val="0"/>
      <w:marTop w:val="0"/>
      <w:marBottom w:val="0"/>
      <w:divBdr>
        <w:top w:val="none" w:sz="0" w:space="0" w:color="auto"/>
        <w:left w:val="none" w:sz="0" w:space="0" w:color="auto"/>
        <w:bottom w:val="none" w:sz="0" w:space="0" w:color="auto"/>
        <w:right w:val="none" w:sz="0" w:space="0" w:color="auto"/>
      </w:divBdr>
    </w:div>
    <w:div w:id="1610314418">
      <w:bodyDiv w:val="1"/>
      <w:marLeft w:val="0"/>
      <w:marRight w:val="0"/>
      <w:marTop w:val="0"/>
      <w:marBottom w:val="0"/>
      <w:divBdr>
        <w:top w:val="none" w:sz="0" w:space="0" w:color="auto"/>
        <w:left w:val="none" w:sz="0" w:space="0" w:color="auto"/>
        <w:bottom w:val="none" w:sz="0" w:space="0" w:color="auto"/>
        <w:right w:val="none" w:sz="0" w:space="0" w:color="auto"/>
      </w:divBdr>
    </w:div>
    <w:div w:id="1650088231">
      <w:bodyDiv w:val="1"/>
      <w:marLeft w:val="0"/>
      <w:marRight w:val="0"/>
      <w:marTop w:val="0"/>
      <w:marBottom w:val="0"/>
      <w:divBdr>
        <w:top w:val="none" w:sz="0" w:space="0" w:color="auto"/>
        <w:left w:val="none" w:sz="0" w:space="0" w:color="auto"/>
        <w:bottom w:val="none" w:sz="0" w:space="0" w:color="auto"/>
        <w:right w:val="none" w:sz="0" w:space="0" w:color="auto"/>
      </w:divBdr>
    </w:div>
    <w:div w:id="1743602830">
      <w:bodyDiv w:val="1"/>
      <w:marLeft w:val="0"/>
      <w:marRight w:val="0"/>
      <w:marTop w:val="0"/>
      <w:marBottom w:val="0"/>
      <w:divBdr>
        <w:top w:val="none" w:sz="0" w:space="0" w:color="auto"/>
        <w:left w:val="none" w:sz="0" w:space="0" w:color="auto"/>
        <w:bottom w:val="none" w:sz="0" w:space="0" w:color="auto"/>
        <w:right w:val="none" w:sz="0" w:space="0" w:color="auto"/>
      </w:divBdr>
    </w:div>
    <w:div w:id="1851332685">
      <w:bodyDiv w:val="1"/>
      <w:marLeft w:val="0"/>
      <w:marRight w:val="0"/>
      <w:marTop w:val="0"/>
      <w:marBottom w:val="0"/>
      <w:divBdr>
        <w:top w:val="none" w:sz="0" w:space="0" w:color="auto"/>
        <w:left w:val="none" w:sz="0" w:space="0" w:color="auto"/>
        <w:bottom w:val="none" w:sz="0" w:space="0" w:color="auto"/>
        <w:right w:val="none" w:sz="0" w:space="0" w:color="auto"/>
      </w:divBdr>
    </w:div>
    <w:div w:id="1907451147">
      <w:bodyDiv w:val="1"/>
      <w:marLeft w:val="0"/>
      <w:marRight w:val="0"/>
      <w:marTop w:val="0"/>
      <w:marBottom w:val="0"/>
      <w:divBdr>
        <w:top w:val="none" w:sz="0" w:space="0" w:color="auto"/>
        <w:left w:val="none" w:sz="0" w:space="0" w:color="auto"/>
        <w:bottom w:val="none" w:sz="0" w:space="0" w:color="auto"/>
        <w:right w:val="none" w:sz="0" w:space="0" w:color="auto"/>
      </w:divBdr>
    </w:div>
    <w:div w:id="1971546865">
      <w:bodyDiv w:val="1"/>
      <w:marLeft w:val="0"/>
      <w:marRight w:val="0"/>
      <w:marTop w:val="0"/>
      <w:marBottom w:val="0"/>
      <w:divBdr>
        <w:top w:val="none" w:sz="0" w:space="0" w:color="auto"/>
        <w:left w:val="none" w:sz="0" w:space="0" w:color="auto"/>
        <w:bottom w:val="none" w:sz="0" w:space="0" w:color="auto"/>
        <w:right w:val="none" w:sz="0" w:space="0" w:color="auto"/>
      </w:divBdr>
    </w:div>
    <w:div w:id="20502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vumedicaljournal.com" TargetMode="Externa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ivumedicaljourna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r.murhabazijustin1@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B1E2E-F2EB-4E76-B610-1F76ED73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13160</Words>
  <Characters>72386</Characters>
  <Application>Microsoft Office Word</Application>
  <DocSecurity>0</DocSecurity>
  <Lines>603</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2025-10-23T08:12:00Z</cp:lastPrinted>
  <dcterms:created xsi:type="dcterms:W3CDTF">2025-11-05T07:09:00Z</dcterms:created>
  <dcterms:modified xsi:type="dcterms:W3CDTF">2025-11-06T07:51:00Z</dcterms:modified>
</cp:coreProperties>
</file>